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2E" w:rsidRPr="00202D2E" w:rsidRDefault="00202D2E" w:rsidP="00202D2E">
      <w:pPr>
        <w:widowControl/>
        <w:shd w:val="clear" w:color="auto" w:fill="FFFFFF"/>
        <w:spacing w:before="240" w:after="96"/>
        <w:jc w:val="left"/>
        <w:outlineLvl w:val="1"/>
        <w:rPr>
          <w:rFonts w:ascii="Arial" w:eastAsia="宋体" w:hAnsi="Arial" w:cs="Arial"/>
          <w:b/>
          <w:bCs/>
          <w:color w:val="5571CE"/>
          <w:kern w:val="0"/>
          <w:sz w:val="38"/>
          <w:szCs w:val="38"/>
        </w:rPr>
      </w:pPr>
      <w:r w:rsidRPr="00202D2E">
        <w:rPr>
          <w:rFonts w:ascii="Arial" w:eastAsia="宋体" w:hAnsi="Arial" w:cs="Arial"/>
          <w:b/>
          <w:bCs/>
          <w:color w:val="5571CE"/>
          <w:kern w:val="0"/>
          <w:sz w:val="38"/>
          <w:szCs w:val="38"/>
        </w:rPr>
        <w:t>Activity 1: Is It Trade or Colonization?</w:t>
      </w:r>
    </w:p>
    <w:p w:rsidR="00202D2E" w:rsidRPr="00202D2E" w:rsidRDefault="00202D2E">
      <w:pPr>
        <w:rPr>
          <w:rFonts w:ascii="Arial" w:hAnsi="Arial" w:cs="Arial" w:hint="eastAsia"/>
          <w:color w:val="000000"/>
          <w:sz w:val="22"/>
          <w:shd w:val="clear" w:color="auto" w:fill="FFFFFF"/>
        </w:rPr>
      </w:pPr>
    </w:p>
    <w:p w:rsidR="00174F8B" w:rsidRDefault="00202D2E">
      <w:pPr>
        <w:rPr>
          <w:rFonts w:ascii="Arial" w:hAnsi="Arial" w:cs="Arial" w:hint="eastAsia"/>
          <w:color w:val="000000"/>
          <w:sz w:val="22"/>
          <w:shd w:val="clear" w:color="auto" w:fill="FFFFFF"/>
        </w:rPr>
      </w:pPr>
      <w:r>
        <w:rPr>
          <w:rFonts w:ascii="Arial" w:hAnsi="Arial" w:cs="Arial"/>
          <w:color w:val="000000"/>
          <w:sz w:val="22"/>
          <w:shd w:val="clear" w:color="auto" w:fill="FFFFFF"/>
        </w:rPr>
        <w:t>Read “The Commodity Trade” (pp. 21–37) in Green and Branford’s </w:t>
      </w:r>
      <w:r>
        <w:rPr>
          <w:rStyle w:val="a3"/>
          <w:rFonts w:ascii="Arial" w:hAnsi="Arial" w:cs="Arial"/>
          <w:color w:val="000000"/>
          <w:sz w:val="22"/>
          <w:shd w:val="clear" w:color="auto" w:fill="FFFFFF"/>
        </w:rPr>
        <w:t>Faces of Latin America</w:t>
      </w:r>
      <w:r>
        <w:rPr>
          <w:rFonts w:ascii="Arial" w:hAnsi="Arial" w:cs="Arial"/>
          <w:color w:val="000000"/>
          <w:sz w:val="22"/>
          <w:shd w:val="clear" w:color="auto" w:fill="FFFFFF"/>
        </w:rPr>
        <w:t>.</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Focus Questions for 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Use the following questions to guide your reading. While your responses to these questions won’t be graded, consider writing them in a reading journal as a way of tracking your thoughts about key concepts, synthesizing your learning experience, and helping you to formulate your ideas for the discussions, written assignments, and the final project exam.</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are the historical roots of the “commodity trade” in Latin America? What is the link between wealth and poverty in Bolivia’s Potosí?</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is the relationship between commodity producers and consumers in the rich countries of the world? For example, why are Canadian consumers able to buy bananas, produced far away in Latin America cheaper than apples produced locally?</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has been the economic and social impact of sugar and gold mining in Brazil’s northeast?</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was the economic role of Great Britain in the region after the Latin American nations gained independence from Spain and Portugal?</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When and how did the US expand its political and economic power in Latin America?</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is the origin of the expression “Banana Republic”?</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was the impact of oil on Venezuela’s economy from 1922 until today?</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Why has the “commodity trade” benefitted countries such as Canada, Australia, and the US so much more than the countries of Latin America?</w:t>
      </w:r>
    </w:p>
    <w:p w:rsidR="00202D2E" w:rsidRDefault="00202D2E" w:rsidP="00202D2E">
      <w:pPr>
        <w:pStyle w:val="a4"/>
        <w:numPr>
          <w:ilvl w:val="0"/>
          <w:numId w:val="1"/>
        </w:numPr>
        <w:spacing w:before="0" w:beforeAutospacing="0" w:after="192" w:afterAutospacing="0" w:line="288" w:lineRule="atLeast"/>
        <w:ind w:left="480" w:right="480"/>
        <w:rPr>
          <w:rFonts w:ascii="Arial" w:hAnsi="Arial" w:cs="Arial" w:hint="eastAsia"/>
          <w:color w:val="000000"/>
          <w:sz w:val="22"/>
          <w:szCs w:val="22"/>
        </w:rPr>
      </w:pPr>
      <w:r>
        <w:rPr>
          <w:rFonts w:ascii="Arial" w:hAnsi="Arial" w:cs="Arial"/>
          <w:color w:val="000000"/>
          <w:sz w:val="22"/>
          <w:szCs w:val="22"/>
        </w:rPr>
        <w:t>How does the “cocaine trade” and the insatiable demand for illegal drugs by Americans differ from the normal pattern for trade in commodities?</w:t>
      </w:r>
    </w:p>
    <w:p w:rsidR="00202D2E" w:rsidRDefault="00202D2E" w:rsidP="00202D2E">
      <w:pPr>
        <w:pStyle w:val="a4"/>
        <w:spacing w:before="0" w:beforeAutospacing="0" w:after="192" w:afterAutospacing="0" w:line="288" w:lineRule="atLeast"/>
        <w:ind w:right="480"/>
        <w:rPr>
          <w:rFonts w:ascii="Arial" w:hAnsi="Arial" w:cs="Arial" w:hint="eastAsia"/>
          <w:color w:val="000000"/>
          <w:sz w:val="22"/>
          <w:szCs w:val="22"/>
        </w:rPr>
      </w:pPr>
    </w:p>
    <w:p w:rsidR="00202D2E" w:rsidRDefault="00202D2E" w:rsidP="00202D2E">
      <w:pPr>
        <w:pStyle w:val="a4"/>
        <w:spacing w:before="0" w:beforeAutospacing="0" w:after="192" w:afterAutospacing="0" w:line="288" w:lineRule="atLeast"/>
        <w:ind w:right="480"/>
        <w:rPr>
          <w:rFonts w:ascii="Arial" w:hAnsi="Arial" w:cs="Arial" w:hint="eastAsia"/>
          <w:color w:val="000000"/>
          <w:sz w:val="22"/>
          <w:szCs w:val="22"/>
        </w:rPr>
      </w:pPr>
    </w:p>
    <w:p w:rsidR="00202D2E" w:rsidRDefault="00202D2E" w:rsidP="00202D2E">
      <w:pPr>
        <w:pStyle w:val="a4"/>
        <w:spacing w:before="0" w:beforeAutospacing="0" w:after="192" w:afterAutospacing="0" w:line="288" w:lineRule="atLeast"/>
        <w:ind w:right="480"/>
        <w:rPr>
          <w:rFonts w:ascii="Arial" w:hAnsi="Arial" w:cs="Arial"/>
          <w:color w:val="000000"/>
          <w:sz w:val="22"/>
          <w:szCs w:val="22"/>
        </w:rPr>
      </w:pPr>
    </w:p>
    <w:p w:rsidR="00202D2E" w:rsidRDefault="00202D2E" w:rsidP="00202D2E">
      <w:pPr>
        <w:pStyle w:val="2"/>
        <w:spacing w:before="240" w:beforeAutospacing="0" w:after="96" w:afterAutospacing="0"/>
        <w:rPr>
          <w:rFonts w:ascii="Arial" w:hAnsi="Arial" w:cs="Arial"/>
          <w:color w:val="5571CE"/>
          <w:sz w:val="35"/>
          <w:szCs w:val="35"/>
        </w:rPr>
      </w:pPr>
      <w:r>
        <w:rPr>
          <w:rFonts w:ascii="Arial" w:hAnsi="Arial" w:cs="Arial"/>
          <w:color w:val="5571CE"/>
          <w:sz w:val="35"/>
          <w:szCs w:val="35"/>
        </w:rPr>
        <w:lastRenderedPageBreak/>
        <w:t xml:space="preserve">Activity </w:t>
      </w:r>
      <w:r>
        <w:rPr>
          <w:rFonts w:ascii="Arial" w:hAnsi="Arial" w:cs="Arial" w:hint="eastAsia"/>
          <w:color w:val="5571CE"/>
          <w:sz w:val="35"/>
          <w:szCs w:val="35"/>
        </w:rPr>
        <w:t>2</w:t>
      </w:r>
      <w:r>
        <w:rPr>
          <w:rFonts w:ascii="Arial" w:hAnsi="Arial" w:cs="Arial"/>
          <w:color w:val="5571CE"/>
          <w:sz w:val="35"/>
          <w:szCs w:val="35"/>
        </w:rPr>
        <w:t>: “Promised Land”</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Read “Promised Land: Land Ownership, Power and Conflict” (pp. 109–125) in Green and Branford’s </w:t>
      </w:r>
      <w:r>
        <w:rPr>
          <w:rStyle w:val="a3"/>
          <w:rFonts w:ascii="Arial" w:hAnsi="Arial" w:cs="Arial"/>
          <w:color w:val="000000"/>
          <w:sz w:val="22"/>
          <w:szCs w:val="22"/>
        </w:rPr>
        <w:t>Faces of Latin America</w:t>
      </w:r>
      <w:r>
        <w:rPr>
          <w:rFonts w:ascii="Arial" w:hAnsi="Arial" w:cs="Arial"/>
          <w:color w:val="000000"/>
          <w:sz w:val="22"/>
          <w:szCs w:val="22"/>
        </w:rPr>
        <w:t>.</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Focus Questions for 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Use the following questions to guide your reading.</w:t>
      </w:r>
    </w:p>
    <w:p w:rsidR="00202D2E" w:rsidRDefault="00202D2E" w:rsidP="00202D2E">
      <w:pPr>
        <w:pStyle w:val="a4"/>
        <w:numPr>
          <w:ilvl w:val="0"/>
          <w:numId w:val="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are the main forms of land ownership established during the colonial time? How do these forms compare with Canada?</w:t>
      </w:r>
    </w:p>
    <w:p w:rsidR="00202D2E" w:rsidRDefault="00202D2E" w:rsidP="00202D2E">
      <w:pPr>
        <w:pStyle w:val="a4"/>
        <w:numPr>
          <w:ilvl w:val="0"/>
          <w:numId w:val="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changes occurred in the agricultural sector after World War II, and what was the role of the state in Colombia and Brazil?</w:t>
      </w:r>
    </w:p>
    <w:p w:rsidR="00202D2E" w:rsidRDefault="00202D2E" w:rsidP="00202D2E">
      <w:pPr>
        <w:pStyle w:val="a4"/>
        <w:numPr>
          <w:ilvl w:val="0"/>
          <w:numId w:val="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Why does Green state that agrarian reform is “one of the hottest issues in Latin American politics” (p. 120)?</w:t>
      </w:r>
    </w:p>
    <w:p w:rsidR="00202D2E" w:rsidRDefault="00202D2E" w:rsidP="00202D2E">
      <w:pPr>
        <w:pStyle w:val="a4"/>
        <w:numPr>
          <w:ilvl w:val="0"/>
          <w:numId w:val="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Explain the conflict between the agrarian reform plans and the modernization of agriculture. Make comparisons with developed countries such as England before the Industrial Revolution.</w:t>
      </w:r>
    </w:p>
    <w:p w:rsidR="00202D2E" w:rsidRDefault="00202D2E" w:rsidP="00202D2E">
      <w:pPr>
        <w:pStyle w:val="a4"/>
        <w:numPr>
          <w:ilvl w:val="0"/>
          <w:numId w:val="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Now, search TRU Library about two cases described in the reading. Find updated information on the cases you selected.</w:t>
      </w:r>
    </w:p>
    <w:p w:rsidR="00202D2E" w:rsidRDefault="00202D2E" w:rsidP="00202D2E">
      <w:pPr>
        <w:pStyle w:val="2"/>
        <w:spacing w:before="240" w:beforeAutospacing="0" w:after="96" w:afterAutospacing="0"/>
        <w:rPr>
          <w:rFonts w:ascii="Arial" w:hAnsi="Arial" w:cs="Arial"/>
          <w:color w:val="5571CE"/>
          <w:sz w:val="35"/>
          <w:szCs w:val="35"/>
        </w:rPr>
      </w:pPr>
      <w:r>
        <w:rPr>
          <w:rFonts w:ascii="Arial" w:hAnsi="Arial" w:cs="Arial"/>
          <w:color w:val="5571CE"/>
          <w:sz w:val="35"/>
          <w:szCs w:val="35"/>
        </w:rPr>
        <w:t xml:space="preserve">Activity </w:t>
      </w:r>
      <w:r>
        <w:rPr>
          <w:rFonts w:ascii="Arial" w:hAnsi="Arial" w:cs="Arial" w:hint="eastAsia"/>
          <w:color w:val="5571CE"/>
          <w:sz w:val="35"/>
          <w:szCs w:val="35"/>
        </w:rPr>
        <w:t>3</w:t>
      </w:r>
      <w:r>
        <w:rPr>
          <w:rFonts w:ascii="Arial" w:hAnsi="Arial" w:cs="Arial"/>
          <w:color w:val="5571CE"/>
          <w:sz w:val="35"/>
          <w:szCs w:val="35"/>
        </w:rPr>
        <w:t>: “Silent Revolution”</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Read “Silent Revolution: Market Economics” (pp. 38–63) in Green and Branford’s </w:t>
      </w:r>
      <w:r>
        <w:rPr>
          <w:rStyle w:val="a3"/>
          <w:rFonts w:ascii="Arial" w:hAnsi="Arial" w:cs="Arial"/>
          <w:color w:val="000000"/>
          <w:sz w:val="22"/>
          <w:szCs w:val="22"/>
        </w:rPr>
        <w:t>Faces of Latin America.</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Focus Questions for 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Use the following questions to guide your reading:</w:t>
      </w:r>
    </w:p>
    <w:p w:rsidR="00202D2E" w:rsidRDefault="00202D2E" w:rsidP="00202D2E">
      <w:pPr>
        <w:pStyle w:val="a4"/>
        <w:numPr>
          <w:ilvl w:val="0"/>
          <w:numId w:val="3"/>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Explain how the industrialization process started in Latin America in the twentieth century. Compare with the Industrial Revolution in England.</w:t>
      </w:r>
    </w:p>
    <w:p w:rsidR="00202D2E" w:rsidRDefault="00202D2E" w:rsidP="00202D2E">
      <w:pPr>
        <w:pStyle w:val="a4"/>
        <w:numPr>
          <w:ilvl w:val="0"/>
          <w:numId w:val="3"/>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were the major changes and impacts on the economy of Latin America during the period characterized by the import substitutions?</w:t>
      </w:r>
    </w:p>
    <w:p w:rsidR="00202D2E" w:rsidRDefault="00202D2E" w:rsidP="00202D2E">
      <w:pPr>
        <w:pStyle w:val="a4"/>
        <w:numPr>
          <w:ilvl w:val="0"/>
          <w:numId w:val="3"/>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were the political responses to the economic difficulties in the 1970s?</w:t>
      </w:r>
    </w:p>
    <w:p w:rsidR="00202D2E" w:rsidRDefault="00202D2E" w:rsidP="00202D2E">
      <w:pPr>
        <w:pStyle w:val="a4"/>
        <w:numPr>
          <w:ilvl w:val="0"/>
          <w:numId w:val="3"/>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lastRenderedPageBreak/>
        <w:t>How did the volume of debt escalate during this period until the crisis of the 1980s?</w:t>
      </w:r>
    </w:p>
    <w:p w:rsidR="00202D2E" w:rsidRDefault="00202D2E" w:rsidP="00202D2E">
      <w:pPr>
        <w:pStyle w:val="a4"/>
        <w:numPr>
          <w:ilvl w:val="0"/>
          <w:numId w:val="3"/>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have you learnt about taking on excessive debt both as an individual and as a country?</w:t>
      </w:r>
    </w:p>
    <w:p w:rsidR="00202D2E" w:rsidRDefault="00202D2E" w:rsidP="00202D2E">
      <w:pPr>
        <w:pStyle w:val="a4"/>
        <w:numPr>
          <w:ilvl w:val="0"/>
          <w:numId w:val="3"/>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is the so-called “lost decade”? Why is it considered “lost”? How has that lost decade been more than made up for by the two decades from 1995–2015?</w:t>
      </w:r>
    </w:p>
    <w:p w:rsidR="00202D2E" w:rsidRDefault="00202D2E" w:rsidP="00202D2E">
      <w:pPr>
        <w:pStyle w:val="2"/>
        <w:shd w:val="clear" w:color="auto" w:fill="FFFFFF"/>
        <w:spacing w:before="240" w:beforeAutospacing="0" w:after="96" w:afterAutospacing="0"/>
        <w:rPr>
          <w:rFonts w:ascii="Arial" w:hAnsi="Arial" w:cs="Arial"/>
          <w:color w:val="5571CE"/>
          <w:sz w:val="38"/>
          <w:szCs w:val="38"/>
        </w:rPr>
      </w:pPr>
      <w:r>
        <w:rPr>
          <w:rFonts w:ascii="Arial" w:hAnsi="Arial" w:cs="Arial"/>
          <w:color w:val="5571CE"/>
          <w:sz w:val="38"/>
          <w:szCs w:val="38"/>
        </w:rPr>
        <w:t xml:space="preserve">Activity </w:t>
      </w:r>
      <w:r>
        <w:rPr>
          <w:rFonts w:ascii="Arial" w:hAnsi="Arial" w:cs="Arial" w:hint="eastAsia"/>
          <w:color w:val="5571CE"/>
          <w:sz w:val="38"/>
          <w:szCs w:val="38"/>
        </w:rPr>
        <w:t>4</w:t>
      </w:r>
      <w:r>
        <w:rPr>
          <w:rFonts w:ascii="Arial" w:hAnsi="Arial" w:cs="Arial"/>
          <w:color w:val="5571CE"/>
          <w:sz w:val="38"/>
          <w:szCs w:val="38"/>
        </w:rPr>
        <w:t>: Regional Integration (MERCOSUR, Andean Community, Central American Free Trade Agreement)</w:t>
      </w:r>
    </w:p>
    <w:p w:rsidR="00202D2E" w:rsidRDefault="00202D2E" w:rsidP="00202D2E">
      <w:pPr>
        <w:pStyle w:val="a4"/>
        <w:shd w:val="clear" w:color="auto" w:fill="FFFFFF"/>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Search online for information about these three regional organizations:</w:t>
      </w:r>
    </w:p>
    <w:p w:rsidR="00202D2E" w:rsidRDefault="00202D2E" w:rsidP="00202D2E">
      <w:pPr>
        <w:pStyle w:val="a4"/>
        <w:numPr>
          <w:ilvl w:val="0"/>
          <w:numId w:val="4"/>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MERCOSUR (</w:t>
      </w:r>
      <w:r>
        <w:rPr>
          <w:rStyle w:val="a3"/>
          <w:rFonts w:ascii="Arial" w:hAnsi="Arial" w:cs="Arial"/>
          <w:color w:val="000000"/>
          <w:sz w:val="22"/>
          <w:szCs w:val="22"/>
        </w:rPr>
        <w:t xml:space="preserve">Mercado </w:t>
      </w:r>
      <w:proofErr w:type="spellStart"/>
      <w:r>
        <w:rPr>
          <w:rStyle w:val="a3"/>
          <w:rFonts w:ascii="Arial" w:hAnsi="Arial" w:cs="Arial"/>
          <w:color w:val="000000"/>
          <w:sz w:val="22"/>
          <w:szCs w:val="22"/>
        </w:rPr>
        <w:t>Común</w:t>
      </w:r>
      <w:proofErr w:type="spellEnd"/>
      <w:r>
        <w:rPr>
          <w:rStyle w:val="a3"/>
          <w:rFonts w:ascii="Arial" w:hAnsi="Arial" w:cs="Arial"/>
          <w:color w:val="000000"/>
          <w:sz w:val="22"/>
          <w:szCs w:val="22"/>
        </w:rPr>
        <w:t xml:space="preserve"> del Sur</w:t>
      </w:r>
      <w:r>
        <w:rPr>
          <w:rFonts w:ascii="Arial" w:hAnsi="Arial" w:cs="Arial"/>
          <w:color w:val="000000"/>
          <w:sz w:val="22"/>
          <w:szCs w:val="22"/>
        </w:rPr>
        <w:t>)</w:t>
      </w:r>
    </w:p>
    <w:p w:rsidR="00202D2E" w:rsidRDefault="00202D2E" w:rsidP="00202D2E">
      <w:pPr>
        <w:pStyle w:val="a4"/>
        <w:numPr>
          <w:ilvl w:val="0"/>
          <w:numId w:val="4"/>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Andean Community (</w:t>
      </w:r>
      <w:proofErr w:type="spellStart"/>
      <w:r>
        <w:rPr>
          <w:rStyle w:val="a3"/>
          <w:rFonts w:ascii="Arial" w:hAnsi="Arial" w:cs="Arial"/>
          <w:color w:val="000000"/>
          <w:sz w:val="22"/>
          <w:szCs w:val="22"/>
        </w:rPr>
        <w:t>Comunidad</w:t>
      </w:r>
      <w:proofErr w:type="spellEnd"/>
      <w:r>
        <w:rPr>
          <w:rStyle w:val="a3"/>
          <w:rFonts w:ascii="Arial" w:hAnsi="Arial" w:cs="Arial"/>
          <w:color w:val="000000"/>
          <w:sz w:val="22"/>
          <w:szCs w:val="22"/>
        </w:rPr>
        <w:t xml:space="preserve"> </w:t>
      </w:r>
      <w:proofErr w:type="spellStart"/>
      <w:r>
        <w:rPr>
          <w:rStyle w:val="a3"/>
          <w:rFonts w:ascii="Arial" w:hAnsi="Arial" w:cs="Arial"/>
          <w:color w:val="000000"/>
          <w:sz w:val="22"/>
          <w:szCs w:val="22"/>
        </w:rPr>
        <w:t>Andina</w:t>
      </w:r>
      <w:proofErr w:type="spellEnd"/>
      <w:r>
        <w:rPr>
          <w:rFonts w:ascii="Arial" w:hAnsi="Arial" w:cs="Arial"/>
          <w:color w:val="000000"/>
          <w:sz w:val="22"/>
          <w:szCs w:val="22"/>
        </w:rPr>
        <w:t>)</w:t>
      </w:r>
    </w:p>
    <w:p w:rsidR="00202D2E" w:rsidRDefault="00202D2E" w:rsidP="00202D2E">
      <w:pPr>
        <w:pStyle w:val="a4"/>
        <w:numPr>
          <w:ilvl w:val="0"/>
          <w:numId w:val="4"/>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Central American Free Trade Agreement (CAFTA)</w:t>
      </w:r>
    </w:p>
    <w:p w:rsidR="00202D2E" w:rsidRDefault="00202D2E" w:rsidP="00202D2E">
      <w:pPr>
        <w:pStyle w:val="a4"/>
        <w:shd w:val="clear" w:color="auto" w:fill="FFFFFF"/>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Find the following information:</w:t>
      </w:r>
    </w:p>
    <w:p w:rsidR="00202D2E" w:rsidRDefault="00202D2E" w:rsidP="00202D2E">
      <w:pPr>
        <w:pStyle w:val="a4"/>
        <w:numPr>
          <w:ilvl w:val="0"/>
          <w:numId w:val="5"/>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Which countries are members or are associated with these regional organizations?</w:t>
      </w:r>
    </w:p>
    <w:p w:rsidR="00202D2E" w:rsidRDefault="00202D2E" w:rsidP="00202D2E">
      <w:pPr>
        <w:pStyle w:val="a4"/>
        <w:numPr>
          <w:ilvl w:val="0"/>
          <w:numId w:val="5"/>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When were these organizations created?</w:t>
      </w:r>
    </w:p>
    <w:p w:rsidR="00202D2E" w:rsidRDefault="00202D2E" w:rsidP="00202D2E">
      <w:pPr>
        <w:pStyle w:val="2"/>
        <w:shd w:val="clear" w:color="auto" w:fill="FFFFFF"/>
        <w:spacing w:before="240" w:beforeAutospacing="0" w:after="96" w:afterAutospacing="0"/>
        <w:rPr>
          <w:rFonts w:ascii="Arial" w:hAnsi="Arial" w:cs="Arial"/>
          <w:color w:val="5571CE"/>
          <w:sz w:val="38"/>
          <w:szCs w:val="38"/>
        </w:rPr>
      </w:pPr>
      <w:r>
        <w:rPr>
          <w:rFonts w:ascii="Arial" w:hAnsi="Arial" w:cs="Arial"/>
          <w:color w:val="5571CE"/>
          <w:sz w:val="38"/>
          <w:szCs w:val="38"/>
        </w:rPr>
        <w:t xml:space="preserve">Activity </w:t>
      </w:r>
      <w:r>
        <w:rPr>
          <w:rFonts w:ascii="Arial" w:hAnsi="Arial" w:cs="Arial" w:hint="eastAsia"/>
          <w:color w:val="5571CE"/>
          <w:sz w:val="38"/>
          <w:szCs w:val="38"/>
        </w:rPr>
        <w:t>5</w:t>
      </w:r>
      <w:r>
        <w:rPr>
          <w:rFonts w:ascii="Arial" w:hAnsi="Arial" w:cs="Arial"/>
          <w:color w:val="5571CE"/>
          <w:sz w:val="38"/>
          <w:szCs w:val="38"/>
        </w:rPr>
        <w:t>: Latin America and “The Americas” (NAFTA and FTAA)</w:t>
      </w:r>
    </w:p>
    <w:p w:rsidR="00202D2E" w:rsidRDefault="00202D2E" w:rsidP="00202D2E">
      <w:pPr>
        <w:pStyle w:val="a4"/>
        <w:shd w:val="clear" w:color="auto" w:fill="FFFFFF"/>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Search online for information about these two agreements between the United States, Canada, and Latin American countries in which the US economy plays a leading role.</w:t>
      </w:r>
    </w:p>
    <w:p w:rsidR="00202D2E" w:rsidRDefault="00202D2E" w:rsidP="00202D2E">
      <w:pPr>
        <w:pStyle w:val="a4"/>
        <w:numPr>
          <w:ilvl w:val="0"/>
          <w:numId w:val="6"/>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North American Free Trade Agreement (NAFTA): This agreement is already in place; find out when it was created and a general overview of what it covers.</w:t>
      </w:r>
    </w:p>
    <w:p w:rsidR="00202D2E" w:rsidRDefault="00202D2E" w:rsidP="00202D2E">
      <w:pPr>
        <w:pStyle w:val="a4"/>
        <w:numPr>
          <w:ilvl w:val="0"/>
          <w:numId w:val="6"/>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Free Trade Area of the Americas (FTAA): This agreement is not yet in place; it remains as an initiative. Find out when the first meeting was held and look for updated information about its status today.</w:t>
      </w:r>
    </w:p>
    <w:p w:rsidR="00202D2E" w:rsidRDefault="00202D2E" w:rsidP="00202D2E">
      <w:pPr>
        <w:pStyle w:val="2"/>
        <w:shd w:val="clear" w:color="auto" w:fill="FFFFFF"/>
        <w:spacing w:before="240" w:beforeAutospacing="0" w:after="96" w:afterAutospacing="0"/>
        <w:rPr>
          <w:rFonts w:ascii="Arial" w:hAnsi="Arial" w:cs="Arial"/>
          <w:color w:val="5571CE"/>
          <w:sz w:val="38"/>
          <w:szCs w:val="38"/>
        </w:rPr>
      </w:pPr>
      <w:r>
        <w:rPr>
          <w:rFonts w:ascii="Arial" w:hAnsi="Arial" w:cs="Arial"/>
          <w:color w:val="5571CE"/>
          <w:sz w:val="38"/>
          <w:szCs w:val="38"/>
        </w:rPr>
        <w:lastRenderedPageBreak/>
        <w:t xml:space="preserve">Activity </w:t>
      </w:r>
      <w:r>
        <w:rPr>
          <w:rFonts w:ascii="Arial" w:hAnsi="Arial" w:cs="Arial" w:hint="eastAsia"/>
          <w:color w:val="5571CE"/>
          <w:sz w:val="38"/>
          <w:szCs w:val="38"/>
        </w:rPr>
        <w:t>6</w:t>
      </w:r>
      <w:r>
        <w:rPr>
          <w:rFonts w:ascii="Arial" w:hAnsi="Arial" w:cs="Arial"/>
          <w:color w:val="5571CE"/>
          <w:sz w:val="38"/>
          <w:szCs w:val="38"/>
        </w:rPr>
        <w:t>: The Dilemma of Continental Integration</w:t>
      </w:r>
    </w:p>
    <w:p w:rsidR="00202D2E" w:rsidRDefault="00202D2E" w:rsidP="00202D2E">
      <w:pPr>
        <w:pStyle w:val="a4"/>
        <w:shd w:val="clear" w:color="auto" w:fill="FFFFFF"/>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The evaluation of these regional integration programs has been controversial since their beginnings in the early 1990s. Discussions over this issue are ongoing, especially around the issue of placing developed countries and the Latin American countries under the same organization or umbrella. Let’s examine different views about NAFTA and FTAA.</w:t>
      </w:r>
    </w:p>
    <w:p w:rsidR="00202D2E" w:rsidRDefault="00202D2E" w:rsidP="00202D2E">
      <w:pPr>
        <w:pStyle w:val="4"/>
        <w:shd w:val="clear" w:color="auto" w:fill="FFFFFF"/>
        <w:spacing w:before="240" w:after="96"/>
        <w:rPr>
          <w:rFonts w:ascii="Arial" w:hAnsi="Arial" w:cs="Arial"/>
          <w:color w:val="5571CE"/>
          <w:sz w:val="29"/>
          <w:szCs w:val="29"/>
        </w:rPr>
      </w:pPr>
      <w:r>
        <w:rPr>
          <w:rFonts w:ascii="Arial" w:hAnsi="Arial" w:cs="Arial"/>
          <w:color w:val="5571CE"/>
          <w:sz w:val="29"/>
          <w:szCs w:val="29"/>
        </w:rPr>
        <w:t>NAFTA</w:t>
      </w:r>
    </w:p>
    <w:p w:rsidR="00202D2E" w:rsidRDefault="00202D2E" w:rsidP="00202D2E">
      <w:pPr>
        <w:pStyle w:val="6"/>
        <w:shd w:val="clear" w:color="auto" w:fill="FFFFFF"/>
        <w:spacing w:after="96"/>
        <w:rPr>
          <w:rFonts w:ascii="Arial" w:hAnsi="Arial" w:cs="Arial"/>
          <w:color w:val="5571CE"/>
        </w:rPr>
      </w:pPr>
      <w:r>
        <w:rPr>
          <w:rFonts w:ascii="Arial" w:hAnsi="Arial" w:cs="Arial"/>
          <w:color w:val="5571CE"/>
        </w:rPr>
        <w:t>Video and Reading</w:t>
      </w:r>
    </w:p>
    <w:p w:rsidR="00202D2E" w:rsidRDefault="00202D2E" w:rsidP="00202D2E">
      <w:pPr>
        <w:pStyle w:val="a4"/>
        <w:shd w:val="clear" w:color="auto" w:fill="FFFFFF"/>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Visit the PBS website to view the video about Mexico and NAFTA (chapter 4, “Crossing Borders”).</w:t>
      </w:r>
    </w:p>
    <w:p w:rsidR="00202D2E" w:rsidRDefault="00202D2E" w:rsidP="00202D2E">
      <w:pPr>
        <w:pStyle w:val="a4"/>
        <w:numPr>
          <w:ilvl w:val="0"/>
          <w:numId w:val="7"/>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PBS series </w:t>
      </w:r>
      <w:r>
        <w:rPr>
          <w:rStyle w:val="a3"/>
          <w:rFonts w:ascii="Arial" w:hAnsi="Arial" w:cs="Arial"/>
          <w:color w:val="000000"/>
          <w:sz w:val="22"/>
          <w:szCs w:val="22"/>
        </w:rPr>
        <w:t>Commanding Heights</w:t>
      </w:r>
      <w:r>
        <w:rPr>
          <w:rFonts w:ascii="Arial" w:hAnsi="Arial" w:cs="Arial"/>
          <w:color w:val="000000"/>
          <w:sz w:val="22"/>
          <w:szCs w:val="22"/>
        </w:rPr>
        <w:t>; Episode Three: The New Rules of the Game; Chapter 4, “Crossing Borders” at </w:t>
      </w:r>
      <w:hyperlink r:id="rId5" w:tgtFrame="new" w:tooltip="http://www.pbs.org/wgbh/commandingheights/lo/story/ch_menu_03.html" w:history="1">
        <w:r>
          <w:rPr>
            <w:rStyle w:val="a5"/>
            <w:rFonts w:ascii="Arial" w:hAnsi="Arial" w:cs="Arial"/>
            <w:color w:val="999999"/>
            <w:sz w:val="22"/>
            <w:szCs w:val="22"/>
          </w:rPr>
          <w:t>http://www.pbs.org/wgbh/commandingheights/lo/story/ch_menu_03.html</w:t>
        </w:r>
      </w:hyperlink>
    </w:p>
    <w:p w:rsidR="00202D2E" w:rsidRDefault="00202D2E" w:rsidP="00202D2E">
      <w:pPr>
        <w:pStyle w:val="a4"/>
        <w:shd w:val="clear" w:color="auto" w:fill="FFFFFF"/>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Read the accompanying interview with former Mexican President Vicente Fox at </w:t>
      </w:r>
      <w:hyperlink r:id="rId6" w:tgtFrame="new" w:tooltip="http://www.pbs.org/wgbh/commandingheights/shared/minitextlo/int_vicentefox.html" w:history="1">
        <w:r>
          <w:rPr>
            <w:rStyle w:val="a5"/>
            <w:rFonts w:ascii="Arial" w:hAnsi="Arial" w:cs="Arial"/>
            <w:color w:val="999999"/>
            <w:sz w:val="22"/>
            <w:szCs w:val="22"/>
          </w:rPr>
          <w:t>http://www.pbs.org/wgbh/commandingheights/shared/minitextlo/int_vicentefox.html</w:t>
        </w:r>
      </w:hyperlink>
    </w:p>
    <w:p w:rsidR="00202D2E" w:rsidRDefault="00202D2E" w:rsidP="00202D2E">
      <w:pPr>
        <w:pStyle w:val="a4"/>
        <w:numPr>
          <w:ilvl w:val="0"/>
          <w:numId w:val="8"/>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 xml:space="preserve">According to Fox, what are the main points in </w:t>
      </w:r>
      <w:proofErr w:type="spellStart"/>
      <w:r>
        <w:rPr>
          <w:rFonts w:ascii="Arial" w:hAnsi="Arial" w:cs="Arial"/>
          <w:color w:val="000000"/>
          <w:sz w:val="22"/>
          <w:szCs w:val="22"/>
        </w:rPr>
        <w:t>favour</w:t>
      </w:r>
      <w:proofErr w:type="spellEnd"/>
      <w:r>
        <w:rPr>
          <w:rFonts w:ascii="Arial" w:hAnsi="Arial" w:cs="Arial"/>
          <w:color w:val="000000"/>
          <w:sz w:val="22"/>
          <w:szCs w:val="22"/>
        </w:rPr>
        <w:t xml:space="preserve"> of NAFTA?</w:t>
      </w:r>
    </w:p>
    <w:p w:rsidR="00202D2E" w:rsidRDefault="00202D2E" w:rsidP="00202D2E">
      <w:pPr>
        <w:pStyle w:val="a4"/>
        <w:numPr>
          <w:ilvl w:val="0"/>
          <w:numId w:val="8"/>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Search online for “NAFTA” to read other references.</w:t>
      </w:r>
    </w:p>
    <w:p w:rsidR="00202D2E" w:rsidRDefault="00202D2E" w:rsidP="00202D2E">
      <w:pPr>
        <w:pStyle w:val="4"/>
        <w:shd w:val="clear" w:color="auto" w:fill="FFFFFF"/>
        <w:spacing w:before="240" w:after="96"/>
        <w:rPr>
          <w:rFonts w:ascii="Arial" w:hAnsi="Arial" w:cs="Arial"/>
          <w:color w:val="5571CE"/>
          <w:sz w:val="29"/>
          <w:szCs w:val="29"/>
        </w:rPr>
      </w:pPr>
      <w:r>
        <w:rPr>
          <w:rFonts w:ascii="Arial" w:hAnsi="Arial" w:cs="Arial"/>
          <w:color w:val="5571CE"/>
          <w:sz w:val="29"/>
          <w:szCs w:val="29"/>
        </w:rPr>
        <w:t>FTAA</w:t>
      </w:r>
    </w:p>
    <w:p w:rsidR="00202D2E" w:rsidRDefault="00202D2E" w:rsidP="00202D2E">
      <w:pPr>
        <w:pStyle w:val="6"/>
        <w:shd w:val="clear" w:color="auto" w:fill="FFFFFF"/>
        <w:spacing w:after="96"/>
        <w:rPr>
          <w:rFonts w:ascii="Arial" w:hAnsi="Arial" w:cs="Arial"/>
          <w:color w:val="5571CE"/>
        </w:rPr>
      </w:pPr>
      <w:r>
        <w:rPr>
          <w:rFonts w:ascii="Arial" w:hAnsi="Arial" w:cs="Arial"/>
          <w:color w:val="5571CE"/>
        </w:rPr>
        <w:t>Reading</w:t>
      </w:r>
    </w:p>
    <w:p w:rsidR="00202D2E" w:rsidRDefault="00202D2E" w:rsidP="00202D2E">
      <w:pPr>
        <w:pStyle w:val="a4"/>
        <w:numPr>
          <w:ilvl w:val="0"/>
          <w:numId w:val="9"/>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Search online for “FTAA” and read the first five references.</w:t>
      </w:r>
    </w:p>
    <w:p w:rsidR="00202D2E" w:rsidRDefault="00202D2E" w:rsidP="00202D2E">
      <w:pPr>
        <w:pStyle w:val="2"/>
        <w:spacing w:before="240" w:beforeAutospacing="0" w:after="96" w:afterAutospacing="0"/>
        <w:rPr>
          <w:rFonts w:ascii="Arial" w:hAnsi="Arial" w:cs="Arial"/>
          <w:color w:val="5571CE"/>
          <w:sz w:val="35"/>
          <w:szCs w:val="35"/>
        </w:rPr>
      </w:pPr>
      <w:r>
        <w:rPr>
          <w:rFonts w:ascii="Arial" w:hAnsi="Arial" w:cs="Arial"/>
          <w:color w:val="5571CE"/>
          <w:sz w:val="35"/>
          <w:szCs w:val="35"/>
        </w:rPr>
        <w:t xml:space="preserve">Activity </w:t>
      </w:r>
      <w:r>
        <w:rPr>
          <w:rFonts w:ascii="Arial" w:hAnsi="Arial" w:cs="Arial" w:hint="eastAsia"/>
          <w:color w:val="5571CE"/>
          <w:sz w:val="35"/>
          <w:szCs w:val="35"/>
        </w:rPr>
        <w:t>6</w:t>
      </w:r>
      <w:r>
        <w:rPr>
          <w:rFonts w:ascii="Arial" w:hAnsi="Arial" w:cs="Arial"/>
          <w:color w:val="5571CE"/>
          <w:sz w:val="35"/>
          <w:szCs w:val="35"/>
        </w:rPr>
        <w:t>: “Mean Streets”</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Read “Mean Streets: Migration and Life in the City,” (pp. 126–138) in Green and Branford’s </w:t>
      </w:r>
      <w:r>
        <w:rPr>
          <w:rStyle w:val="a3"/>
          <w:rFonts w:ascii="Arial" w:hAnsi="Arial" w:cs="Arial"/>
          <w:color w:val="000000"/>
          <w:sz w:val="22"/>
          <w:szCs w:val="22"/>
        </w:rPr>
        <w:t>Faces of Latin America</w:t>
      </w:r>
      <w:r>
        <w:rPr>
          <w:rFonts w:ascii="Arial" w:hAnsi="Arial" w:cs="Arial"/>
          <w:color w:val="000000"/>
          <w:sz w:val="22"/>
          <w:szCs w:val="22"/>
        </w:rPr>
        <w:t> to learn about the trend of migration to the cities and the plight of the urban poor in shantytowns and squatter settlements.</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lastRenderedPageBreak/>
        <w:t>Focus Questions for 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Use the following questions to guide your reading.</w:t>
      </w:r>
    </w:p>
    <w:p w:rsidR="00202D2E" w:rsidRDefault="00202D2E" w:rsidP="00202D2E">
      <w:pPr>
        <w:pStyle w:val="a4"/>
        <w:numPr>
          <w:ilvl w:val="0"/>
          <w:numId w:val="10"/>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 xml:space="preserve">Why has migration from rural to urban </w:t>
      </w:r>
      <w:proofErr w:type="spellStart"/>
      <w:r>
        <w:rPr>
          <w:rFonts w:ascii="Arial" w:hAnsi="Arial" w:cs="Arial"/>
          <w:color w:val="000000"/>
          <w:sz w:val="22"/>
          <w:szCs w:val="22"/>
        </w:rPr>
        <w:t>centres</w:t>
      </w:r>
      <w:proofErr w:type="spellEnd"/>
      <w:r>
        <w:rPr>
          <w:rFonts w:ascii="Arial" w:hAnsi="Arial" w:cs="Arial"/>
          <w:color w:val="000000"/>
          <w:sz w:val="22"/>
          <w:szCs w:val="22"/>
        </w:rPr>
        <w:t xml:space="preserve"> been increasing since 1930?</w:t>
      </w:r>
    </w:p>
    <w:p w:rsidR="00202D2E" w:rsidRDefault="00202D2E" w:rsidP="00202D2E">
      <w:pPr>
        <w:pStyle w:val="a4"/>
        <w:numPr>
          <w:ilvl w:val="0"/>
          <w:numId w:val="10"/>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Find recent figures on the urban population in Latin American countries.</w:t>
      </w:r>
    </w:p>
    <w:p w:rsidR="00202D2E" w:rsidRDefault="00202D2E" w:rsidP="00202D2E">
      <w:pPr>
        <w:pStyle w:val="a4"/>
        <w:numPr>
          <w:ilvl w:val="0"/>
          <w:numId w:val="10"/>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is the typical profile of migrants that left their agricultural way of life in search of a future in the major cities in Latin America?</w:t>
      </w:r>
    </w:p>
    <w:p w:rsidR="00202D2E" w:rsidRDefault="00202D2E" w:rsidP="00202D2E">
      <w:pPr>
        <w:pStyle w:val="a4"/>
        <w:numPr>
          <w:ilvl w:val="0"/>
          <w:numId w:val="10"/>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How does the migration process from Latin American countries to the US work? How does the migration process between Latin American countries work? How do the two compare?</w:t>
      </w:r>
    </w:p>
    <w:p w:rsidR="00202D2E" w:rsidRDefault="00202D2E" w:rsidP="00202D2E">
      <w:pPr>
        <w:pStyle w:val="a4"/>
        <w:numPr>
          <w:ilvl w:val="0"/>
          <w:numId w:val="10"/>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Who are the people in the “</w:t>
      </w:r>
      <w:proofErr w:type="spellStart"/>
      <w:r>
        <w:rPr>
          <w:rStyle w:val="a3"/>
          <w:rFonts w:ascii="Arial" w:hAnsi="Arial" w:cs="Arial"/>
          <w:color w:val="000000"/>
          <w:sz w:val="22"/>
          <w:szCs w:val="22"/>
        </w:rPr>
        <w:t>favelas</w:t>
      </w:r>
      <w:proofErr w:type="spellEnd"/>
      <w:r>
        <w:rPr>
          <w:rFonts w:ascii="Arial" w:hAnsi="Arial" w:cs="Arial"/>
          <w:color w:val="000000"/>
          <w:sz w:val="22"/>
          <w:szCs w:val="22"/>
        </w:rPr>
        <w:t>,” “</w:t>
      </w:r>
      <w:r>
        <w:rPr>
          <w:rStyle w:val="a3"/>
          <w:rFonts w:ascii="Arial" w:hAnsi="Arial" w:cs="Arial"/>
          <w:color w:val="000000"/>
          <w:sz w:val="22"/>
          <w:szCs w:val="22"/>
        </w:rPr>
        <w:t>villas miseries</w:t>
      </w:r>
      <w:r>
        <w:rPr>
          <w:rFonts w:ascii="Arial" w:hAnsi="Arial" w:cs="Arial"/>
          <w:color w:val="000000"/>
          <w:sz w:val="22"/>
          <w:szCs w:val="22"/>
        </w:rPr>
        <w:t>,” and “</w:t>
      </w:r>
      <w:proofErr w:type="spellStart"/>
      <w:r>
        <w:rPr>
          <w:rStyle w:val="a3"/>
          <w:rFonts w:ascii="Arial" w:hAnsi="Arial" w:cs="Arial"/>
          <w:color w:val="000000"/>
          <w:sz w:val="22"/>
          <w:szCs w:val="22"/>
        </w:rPr>
        <w:t>callampas</w:t>
      </w:r>
      <w:proofErr w:type="spellEnd"/>
      <w:r>
        <w:rPr>
          <w:rStyle w:val="a3"/>
          <w:rFonts w:ascii="Arial" w:hAnsi="Arial" w:cs="Arial"/>
          <w:color w:val="000000"/>
          <w:sz w:val="22"/>
          <w:szCs w:val="22"/>
        </w:rPr>
        <w:t>”</w:t>
      </w:r>
      <w:r>
        <w:rPr>
          <w:rFonts w:ascii="Arial" w:hAnsi="Arial" w:cs="Arial"/>
          <w:color w:val="000000"/>
          <w:sz w:val="22"/>
          <w:szCs w:val="22"/>
        </w:rPr>
        <w:t>? How do they live?</w:t>
      </w:r>
    </w:p>
    <w:p w:rsidR="00202D2E" w:rsidRDefault="00202D2E" w:rsidP="00202D2E">
      <w:pPr>
        <w:pStyle w:val="a4"/>
        <w:numPr>
          <w:ilvl w:val="0"/>
          <w:numId w:val="10"/>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are the major problems people face in those marginal settlements?</w:t>
      </w:r>
    </w:p>
    <w:p w:rsidR="00202D2E" w:rsidRDefault="00202D2E" w:rsidP="00202D2E">
      <w:pPr>
        <w:pStyle w:val="2"/>
        <w:spacing w:before="240" w:beforeAutospacing="0" w:after="96" w:afterAutospacing="0"/>
        <w:rPr>
          <w:rFonts w:ascii="Arial" w:hAnsi="Arial" w:cs="Arial"/>
          <w:color w:val="5571CE"/>
          <w:sz w:val="35"/>
          <w:szCs w:val="35"/>
        </w:rPr>
      </w:pPr>
      <w:bookmarkStart w:id="0" w:name="section0301_t02_a03"/>
      <w:bookmarkEnd w:id="0"/>
      <w:r>
        <w:rPr>
          <w:rFonts w:ascii="Arial" w:hAnsi="Arial" w:cs="Arial"/>
          <w:color w:val="5571CE"/>
          <w:sz w:val="35"/>
          <w:szCs w:val="35"/>
        </w:rPr>
        <w:t xml:space="preserve">Activity </w:t>
      </w:r>
      <w:r>
        <w:rPr>
          <w:rFonts w:ascii="Arial" w:hAnsi="Arial" w:cs="Arial" w:hint="eastAsia"/>
          <w:color w:val="5571CE"/>
          <w:sz w:val="35"/>
          <w:szCs w:val="35"/>
        </w:rPr>
        <w:t>7</w:t>
      </w:r>
      <w:r>
        <w:rPr>
          <w:rFonts w:ascii="Arial" w:hAnsi="Arial" w:cs="Arial"/>
          <w:color w:val="5571CE"/>
          <w:sz w:val="35"/>
          <w:szCs w:val="35"/>
        </w:rPr>
        <w:t>: Gender, Work, and Politics</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Read “Gender and Politics” (pp. 174–194) in </w:t>
      </w:r>
      <w:r>
        <w:rPr>
          <w:rStyle w:val="a3"/>
          <w:rFonts w:ascii="Arial" w:hAnsi="Arial" w:cs="Arial"/>
          <w:color w:val="000000"/>
          <w:sz w:val="22"/>
          <w:szCs w:val="22"/>
        </w:rPr>
        <w:t>Faces of Latin America</w:t>
      </w:r>
      <w:r>
        <w:rPr>
          <w:rFonts w:ascii="Arial" w:hAnsi="Arial" w:cs="Arial"/>
          <w:color w:val="000000"/>
          <w:sz w:val="22"/>
          <w:szCs w:val="22"/>
        </w:rPr>
        <w:t xml:space="preserve">. In this selection Green emphasizes not only issues related to women’s </w:t>
      </w:r>
      <w:proofErr w:type="spellStart"/>
      <w:r>
        <w:rPr>
          <w:rFonts w:ascii="Arial" w:hAnsi="Arial" w:cs="Arial"/>
          <w:color w:val="000000"/>
          <w:sz w:val="22"/>
          <w:szCs w:val="22"/>
        </w:rPr>
        <w:t>labour</w:t>
      </w:r>
      <w:proofErr w:type="spellEnd"/>
      <w:r>
        <w:rPr>
          <w:rFonts w:ascii="Arial" w:hAnsi="Arial" w:cs="Arial"/>
          <w:color w:val="000000"/>
          <w:sz w:val="22"/>
          <w:szCs w:val="22"/>
        </w:rPr>
        <w:t xml:space="preserve"> but also their participation in politics and in worker’s movements and human rights organizations.</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Then, search online and/or TRU Library about the </w:t>
      </w:r>
      <w:proofErr w:type="spellStart"/>
      <w:r>
        <w:rPr>
          <w:rStyle w:val="a3"/>
          <w:rFonts w:ascii="Arial" w:hAnsi="Arial" w:cs="Arial"/>
          <w:color w:val="000000"/>
          <w:sz w:val="22"/>
          <w:szCs w:val="22"/>
        </w:rPr>
        <w:t>maquiladoras</w:t>
      </w:r>
      <w:proofErr w:type="spellEnd"/>
      <w:r>
        <w:rPr>
          <w:rFonts w:ascii="Arial" w:hAnsi="Arial" w:cs="Arial"/>
          <w:color w:val="000000"/>
          <w:sz w:val="22"/>
          <w:szCs w:val="22"/>
        </w:rPr>
        <w:t> and their organizations in Mexico. What are the major problems they are facing today? Look for pros and cons for women working near the Mexican border.</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Focus Questions for 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Use the following questions to guide your reading and research:</w:t>
      </w:r>
    </w:p>
    <w:p w:rsidR="00202D2E" w:rsidRDefault="00202D2E" w:rsidP="00202D2E">
      <w:pPr>
        <w:pStyle w:val="a4"/>
        <w:numPr>
          <w:ilvl w:val="0"/>
          <w:numId w:val="1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are the traditional social conditions and ways of life for women who live in rural environments?</w:t>
      </w:r>
    </w:p>
    <w:p w:rsidR="00202D2E" w:rsidRDefault="00202D2E" w:rsidP="00202D2E">
      <w:pPr>
        <w:pStyle w:val="a4"/>
        <w:numPr>
          <w:ilvl w:val="0"/>
          <w:numId w:val="1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is happening with middle class women with regard to education and politics?</w:t>
      </w:r>
    </w:p>
    <w:p w:rsidR="00202D2E" w:rsidRDefault="00202D2E" w:rsidP="00202D2E">
      <w:pPr>
        <w:pStyle w:val="a4"/>
        <w:numPr>
          <w:ilvl w:val="0"/>
          <w:numId w:val="1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 xml:space="preserve">What is the </w:t>
      </w:r>
      <w:proofErr w:type="spellStart"/>
      <w:r>
        <w:rPr>
          <w:rFonts w:ascii="Arial" w:hAnsi="Arial" w:cs="Arial"/>
          <w:color w:val="000000"/>
          <w:sz w:val="22"/>
          <w:szCs w:val="22"/>
        </w:rPr>
        <w:t>labour</w:t>
      </w:r>
      <w:proofErr w:type="spellEnd"/>
      <w:r>
        <w:rPr>
          <w:rFonts w:ascii="Arial" w:hAnsi="Arial" w:cs="Arial"/>
          <w:color w:val="000000"/>
          <w:sz w:val="22"/>
          <w:szCs w:val="22"/>
        </w:rPr>
        <w:t xml:space="preserve"> situation for women in terms of informal and formal employment in Latin America?</w:t>
      </w:r>
    </w:p>
    <w:p w:rsidR="00202D2E" w:rsidRDefault="00202D2E" w:rsidP="00202D2E">
      <w:pPr>
        <w:pStyle w:val="a4"/>
        <w:numPr>
          <w:ilvl w:val="0"/>
          <w:numId w:val="1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are the </w:t>
      </w:r>
      <w:proofErr w:type="spellStart"/>
      <w:r>
        <w:rPr>
          <w:rStyle w:val="a3"/>
          <w:rFonts w:ascii="Arial" w:hAnsi="Arial" w:cs="Arial"/>
          <w:color w:val="000000"/>
          <w:sz w:val="22"/>
          <w:szCs w:val="22"/>
        </w:rPr>
        <w:t>maquiladoras</w:t>
      </w:r>
      <w:proofErr w:type="spellEnd"/>
      <w:r>
        <w:rPr>
          <w:rFonts w:ascii="Arial" w:hAnsi="Arial" w:cs="Arial"/>
          <w:color w:val="000000"/>
          <w:sz w:val="22"/>
          <w:szCs w:val="22"/>
        </w:rPr>
        <w:t>? What are the main characteristics of employment in the </w:t>
      </w:r>
      <w:proofErr w:type="spellStart"/>
      <w:r>
        <w:rPr>
          <w:rStyle w:val="a3"/>
          <w:rFonts w:ascii="Arial" w:hAnsi="Arial" w:cs="Arial"/>
          <w:color w:val="000000"/>
          <w:sz w:val="22"/>
          <w:szCs w:val="22"/>
        </w:rPr>
        <w:t>maquiladoras</w:t>
      </w:r>
      <w:proofErr w:type="spellEnd"/>
      <w:r>
        <w:rPr>
          <w:rFonts w:ascii="Arial" w:hAnsi="Arial" w:cs="Arial"/>
          <w:color w:val="000000"/>
          <w:sz w:val="22"/>
          <w:szCs w:val="22"/>
        </w:rPr>
        <w:t>?</w:t>
      </w:r>
    </w:p>
    <w:p w:rsidR="00202D2E" w:rsidRDefault="00202D2E" w:rsidP="00202D2E">
      <w:pPr>
        <w:pStyle w:val="a4"/>
        <w:numPr>
          <w:ilvl w:val="0"/>
          <w:numId w:val="11"/>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lastRenderedPageBreak/>
        <w:t>How have women participated in politics and in the government?</w:t>
      </w:r>
    </w:p>
    <w:p w:rsidR="00202D2E" w:rsidRDefault="00202D2E" w:rsidP="00202D2E">
      <w:pPr>
        <w:pStyle w:val="2"/>
        <w:spacing w:before="240" w:beforeAutospacing="0" w:after="96" w:afterAutospacing="0"/>
        <w:rPr>
          <w:rFonts w:ascii="Arial" w:hAnsi="Arial" w:cs="Arial"/>
          <w:color w:val="5571CE"/>
          <w:sz w:val="35"/>
          <w:szCs w:val="35"/>
        </w:rPr>
      </w:pPr>
      <w:r>
        <w:rPr>
          <w:rFonts w:ascii="Arial" w:hAnsi="Arial" w:cs="Arial"/>
          <w:color w:val="5571CE"/>
          <w:sz w:val="35"/>
          <w:szCs w:val="35"/>
        </w:rPr>
        <w:t xml:space="preserve">Activity </w:t>
      </w:r>
      <w:r>
        <w:rPr>
          <w:rFonts w:ascii="Arial" w:hAnsi="Arial" w:cs="Arial" w:hint="eastAsia"/>
          <w:color w:val="5571CE"/>
          <w:sz w:val="35"/>
          <w:szCs w:val="35"/>
        </w:rPr>
        <w:t>8</w:t>
      </w:r>
      <w:r>
        <w:rPr>
          <w:rFonts w:ascii="Arial" w:hAnsi="Arial" w:cs="Arial"/>
          <w:color w:val="5571CE"/>
          <w:sz w:val="35"/>
          <w:szCs w:val="35"/>
        </w:rPr>
        <w:t>: “A Land in Flames”</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Read “A Land in Flames: The Environment” (pp. 139–155) in Green and Branford’s </w:t>
      </w:r>
      <w:r>
        <w:rPr>
          <w:rStyle w:val="a3"/>
          <w:rFonts w:ascii="Arial" w:hAnsi="Arial" w:cs="Arial"/>
          <w:color w:val="000000"/>
          <w:sz w:val="22"/>
          <w:szCs w:val="22"/>
        </w:rPr>
        <w:t>Faces of Latin America</w:t>
      </w:r>
      <w:r>
        <w:rPr>
          <w:rFonts w:ascii="Arial" w:hAnsi="Arial" w:cs="Arial"/>
          <w:color w:val="000000"/>
          <w:sz w:val="22"/>
          <w:szCs w:val="22"/>
        </w:rPr>
        <w:t>.</w:t>
      </w:r>
    </w:p>
    <w:p w:rsidR="00202D2E" w:rsidRDefault="00202D2E" w:rsidP="00202D2E">
      <w:pPr>
        <w:pStyle w:val="4"/>
        <w:spacing w:before="240" w:after="96"/>
        <w:rPr>
          <w:rFonts w:ascii="Arial" w:hAnsi="Arial" w:cs="Arial"/>
          <w:color w:val="5571CE"/>
          <w:sz w:val="29"/>
          <w:szCs w:val="29"/>
        </w:rPr>
      </w:pPr>
      <w:r>
        <w:rPr>
          <w:rFonts w:ascii="Arial" w:hAnsi="Arial" w:cs="Arial"/>
          <w:color w:val="5571CE"/>
          <w:sz w:val="29"/>
          <w:szCs w:val="29"/>
        </w:rPr>
        <w:t>Focus Questions for Reading</w:t>
      </w:r>
    </w:p>
    <w:p w:rsidR="00202D2E" w:rsidRDefault="00202D2E" w:rsidP="00202D2E">
      <w:pPr>
        <w:pStyle w:val="a4"/>
        <w:spacing w:before="0" w:beforeAutospacing="0" w:after="192" w:afterAutospacing="0" w:line="288" w:lineRule="atLeast"/>
        <w:rPr>
          <w:rFonts w:ascii="Arial" w:hAnsi="Arial" w:cs="Arial"/>
          <w:color w:val="000000"/>
          <w:sz w:val="22"/>
          <w:szCs w:val="22"/>
        </w:rPr>
      </w:pPr>
      <w:r>
        <w:rPr>
          <w:rFonts w:ascii="Arial" w:hAnsi="Arial" w:cs="Arial"/>
          <w:color w:val="000000"/>
          <w:sz w:val="22"/>
          <w:szCs w:val="22"/>
        </w:rPr>
        <w:t>Use the following questions to guide both your reading in this activity and your online research in Activity 2.</w:t>
      </w:r>
    </w:p>
    <w:p w:rsidR="00202D2E" w:rsidRDefault="00202D2E" w:rsidP="00202D2E">
      <w:pPr>
        <w:pStyle w:val="a4"/>
        <w:numPr>
          <w:ilvl w:val="0"/>
          <w:numId w:val="1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How did the processes of industrialization impact the environment in Latin America? Is it any different from the impact of industrialization in England or China?</w:t>
      </w:r>
    </w:p>
    <w:p w:rsidR="00202D2E" w:rsidRDefault="00202D2E" w:rsidP="00202D2E">
      <w:pPr>
        <w:pStyle w:val="a4"/>
        <w:numPr>
          <w:ilvl w:val="0"/>
          <w:numId w:val="1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How are extractive industries, such as mining and oil, damaging the environment in Latin America? Which sub-regions are most affected? How does it compare with Canada and the US?</w:t>
      </w:r>
    </w:p>
    <w:p w:rsidR="00202D2E" w:rsidRDefault="00202D2E" w:rsidP="00202D2E">
      <w:pPr>
        <w:pStyle w:val="a4"/>
        <w:numPr>
          <w:ilvl w:val="0"/>
          <w:numId w:val="1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are some of the major causes and consequences of deforestation in the area? How does it compare with Canada?</w:t>
      </w:r>
    </w:p>
    <w:p w:rsidR="00202D2E" w:rsidRDefault="00202D2E" w:rsidP="00202D2E">
      <w:pPr>
        <w:pStyle w:val="a4"/>
        <w:numPr>
          <w:ilvl w:val="0"/>
          <w:numId w:val="12"/>
        </w:numPr>
        <w:spacing w:before="0" w:beforeAutospacing="0" w:after="192" w:afterAutospacing="0" w:line="288" w:lineRule="atLeast"/>
        <w:ind w:left="480" w:right="480"/>
        <w:rPr>
          <w:rFonts w:ascii="Arial" w:hAnsi="Arial" w:cs="Arial"/>
          <w:color w:val="000000"/>
          <w:sz w:val="22"/>
          <w:szCs w:val="22"/>
        </w:rPr>
      </w:pPr>
      <w:r>
        <w:rPr>
          <w:rFonts w:ascii="Arial" w:hAnsi="Arial" w:cs="Arial"/>
          <w:color w:val="000000"/>
          <w:sz w:val="22"/>
          <w:szCs w:val="22"/>
        </w:rPr>
        <w:t>What are the consequences for the people and the land of using agricultural pesticides in rural areas?</w:t>
      </w:r>
    </w:p>
    <w:p w:rsidR="00202D2E" w:rsidRPr="00202D2E" w:rsidRDefault="00202D2E"/>
    <w:sectPr w:rsidR="00202D2E" w:rsidRPr="00202D2E" w:rsidSect="00174F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5FF"/>
    <w:multiLevelType w:val="multilevel"/>
    <w:tmpl w:val="A99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56D2E"/>
    <w:multiLevelType w:val="multilevel"/>
    <w:tmpl w:val="A860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94B3C"/>
    <w:multiLevelType w:val="multilevel"/>
    <w:tmpl w:val="FC94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B2FBD"/>
    <w:multiLevelType w:val="multilevel"/>
    <w:tmpl w:val="301E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D769D"/>
    <w:multiLevelType w:val="multilevel"/>
    <w:tmpl w:val="8870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50396"/>
    <w:multiLevelType w:val="multilevel"/>
    <w:tmpl w:val="71B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F4FCF"/>
    <w:multiLevelType w:val="multilevel"/>
    <w:tmpl w:val="FFE0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D5C5D"/>
    <w:multiLevelType w:val="multilevel"/>
    <w:tmpl w:val="3C0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52EE1"/>
    <w:multiLevelType w:val="multilevel"/>
    <w:tmpl w:val="36E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7643F"/>
    <w:multiLevelType w:val="multilevel"/>
    <w:tmpl w:val="31A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01822"/>
    <w:multiLevelType w:val="multilevel"/>
    <w:tmpl w:val="F1C8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4F080D"/>
    <w:multiLevelType w:val="multilevel"/>
    <w:tmpl w:val="830C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1"/>
  </w:num>
  <w:num w:numId="5">
    <w:abstractNumId w:val="4"/>
  </w:num>
  <w:num w:numId="6">
    <w:abstractNumId w:val="10"/>
  </w:num>
  <w:num w:numId="7">
    <w:abstractNumId w:val="3"/>
  </w:num>
  <w:num w:numId="8">
    <w:abstractNumId w:val="2"/>
  </w:num>
  <w:num w:numId="9">
    <w:abstractNumId w:val="9"/>
  </w:num>
  <w:num w:numId="10">
    <w:abstractNumId w:val="6"/>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2D2E"/>
    <w:rsid w:val="00174F8B"/>
    <w:rsid w:val="00202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8B"/>
    <w:pPr>
      <w:widowControl w:val="0"/>
      <w:jc w:val="both"/>
    </w:pPr>
  </w:style>
  <w:style w:type="paragraph" w:styleId="2">
    <w:name w:val="heading 2"/>
    <w:basedOn w:val="a"/>
    <w:link w:val="2Char"/>
    <w:uiPriority w:val="9"/>
    <w:qFormat/>
    <w:rsid w:val="00202D2E"/>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link w:val="4Char"/>
    <w:uiPriority w:val="9"/>
    <w:semiHidden/>
    <w:unhideWhenUsed/>
    <w:qFormat/>
    <w:rsid w:val="00202D2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
    <w:semiHidden/>
    <w:unhideWhenUsed/>
    <w:qFormat/>
    <w:rsid w:val="00202D2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02D2E"/>
    <w:rPr>
      <w:i/>
      <w:iCs/>
    </w:rPr>
  </w:style>
  <w:style w:type="character" w:customStyle="1" w:styleId="2Char">
    <w:name w:val="标题 2 Char"/>
    <w:basedOn w:val="a0"/>
    <w:link w:val="2"/>
    <w:uiPriority w:val="9"/>
    <w:rsid w:val="00202D2E"/>
    <w:rPr>
      <w:rFonts w:ascii="宋体" w:eastAsia="宋体" w:hAnsi="宋体" w:cs="宋体"/>
      <w:b/>
      <w:bCs/>
      <w:kern w:val="0"/>
      <w:sz w:val="36"/>
      <w:szCs w:val="36"/>
    </w:rPr>
  </w:style>
  <w:style w:type="character" w:customStyle="1" w:styleId="4Char">
    <w:name w:val="标题 4 Char"/>
    <w:basedOn w:val="a0"/>
    <w:link w:val="4"/>
    <w:uiPriority w:val="9"/>
    <w:semiHidden/>
    <w:rsid w:val="00202D2E"/>
    <w:rPr>
      <w:rFonts w:asciiTheme="majorHAnsi" w:eastAsiaTheme="majorEastAsia" w:hAnsiTheme="majorHAnsi" w:cstheme="majorBidi"/>
      <w:b/>
      <w:bCs/>
      <w:sz w:val="28"/>
      <w:szCs w:val="28"/>
    </w:rPr>
  </w:style>
  <w:style w:type="paragraph" w:styleId="a4">
    <w:name w:val="Normal (Web)"/>
    <w:basedOn w:val="a"/>
    <w:uiPriority w:val="99"/>
    <w:semiHidden/>
    <w:unhideWhenUsed/>
    <w:rsid w:val="00202D2E"/>
    <w:pPr>
      <w:widowControl/>
      <w:spacing w:before="100" w:beforeAutospacing="1" w:after="100" w:afterAutospacing="1"/>
      <w:jc w:val="left"/>
    </w:pPr>
    <w:rPr>
      <w:rFonts w:ascii="宋体" w:eastAsia="宋体" w:hAnsi="宋体" w:cs="宋体"/>
      <w:kern w:val="0"/>
      <w:sz w:val="24"/>
      <w:szCs w:val="24"/>
    </w:rPr>
  </w:style>
  <w:style w:type="character" w:customStyle="1" w:styleId="6Char">
    <w:name w:val="标题 6 Char"/>
    <w:basedOn w:val="a0"/>
    <w:link w:val="6"/>
    <w:uiPriority w:val="9"/>
    <w:semiHidden/>
    <w:rsid w:val="00202D2E"/>
    <w:rPr>
      <w:rFonts w:asciiTheme="majorHAnsi" w:eastAsiaTheme="majorEastAsia" w:hAnsiTheme="majorHAnsi" w:cstheme="majorBidi"/>
      <w:b/>
      <w:bCs/>
      <w:sz w:val="24"/>
      <w:szCs w:val="24"/>
    </w:rPr>
  </w:style>
  <w:style w:type="character" w:styleId="a5">
    <w:name w:val="Hyperlink"/>
    <w:basedOn w:val="a0"/>
    <w:uiPriority w:val="99"/>
    <w:semiHidden/>
    <w:unhideWhenUsed/>
    <w:rsid w:val="00202D2E"/>
    <w:rPr>
      <w:color w:val="0000FF"/>
      <w:u w:val="single"/>
    </w:rPr>
  </w:style>
</w:styles>
</file>

<file path=word/webSettings.xml><?xml version="1.0" encoding="utf-8"?>
<w:webSettings xmlns:r="http://schemas.openxmlformats.org/officeDocument/2006/relationships" xmlns:w="http://schemas.openxmlformats.org/wordprocessingml/2006/main">
  <w:divs>
    <w:div w:id="145904109">
      <w:bodyDiv w:val="1"/>
      <w:marLeft w:val="0"/>
      <w:marRight w:val="0"/>
      <w:marTop w:val="0"/>
      <w:marBottom w:val="0"/>
      <w:divBdr>
        <w:top w:val="none" w:sz="0" w:space="0" w:color="auto"/>
        <w:left w:val="none" w:sz="0" w:space="0" w:color="auto"/>
        <w:bottom w:val="none" w:sz="0" w:space="0" w:color="auto"/>
        <w:right w:val="none" w:sz="0" w:space="0" w:color="auto"/>
      </w:divBdr>
      <w:divsChild>
        <w:div w:id="1815638431">
          <w:marLeft w:val="0"/>
          <w:marRight w:val="240"/>
          <w:marTop w:val="120"/>
          <w:marBottom w:val="288"/>
          <w:divBdr>
            <w:top w:val="none" w:sz="0" w:space="0" w:color="auto"/>
            <w:left w:val="none" w:sz="0" w:space="0" w:color="auto"/>
            <w:bottom w:val="none" w:sz="0" w:space="0" w:color="auto"/>
            <w:right w:val="none" w:sz="0" w:space="0" w:color="auto"/>
          </w:divBdr>
        </w:div>
      </w:divsChild>
    </w:div>
    <w:div w:id="262298554">
      <w:bodyDiv w:val="1"/>
      <w:marLeft w:val="0"/>
      <w:marRight w:val="0"/>
      <w:marTop w:val="0"/>
      <w:marBottom w:val="0"/>
      <w:divBdr>
        <w:top w:val="none" w:sz="0" w:space="0" w:color="auto"/>
        <w:left w:val="none" w:sz="0" w:space="0" w:color="auto"/>
        <w:bottom w:val="none" w:sz="0" w:space="0" w:color="auto"/>
        <w:right w:val="none" w:sz="0" w:space="0" w:color="auto"/>
      </w:divBdr>
      <w:divsChild>
        <w:div w:id="1456211539">
          <w:marLeft w:val="0"/>
          <w:marRight w:val="240"/>
          <w:marTop w:val="120"/>
          <w:marBottom w:val="288"/>
          <w:divBdr>
            <w:top w:val="none" w:sz="0" w:space="0" w:color="auto"/>
            <w:left w:val="none" w:sz="0" w:space="0" w:color="auto"/>
            <w:bottom w:val="none" w:sz="0" w:space="0" w:color="auto"/>
            <w:right w:val="none" w:sz="0" w:space="0" w:color="auto"/>
          </w:divBdr>
        </w:div>
        <w:div w:id="1057821404">
          <w:marLeft w:val="0"/>
          <w:marRight w:val="240"/>
          <w:marTop w:val="120"/>
          <w:marBottom w:val="288"/>
          <w:divBdr>
            <w:top w:val="none" w:sz="0" w:space="0" w:color="auto"/>
            <w:left w:val="none" w:sz="0" w:space="0" w:color="auto"/>
            <w:bottom w:val="none" w:sz="0" w:space="0" w:color="auto"/>
            <w:right w:val="none" w:sz="0" w:space="0" w:color="auto"/>
          </w:divBdr>
        </w:div>
      </w:divsChild>
    </w:div>
    <w:div w:id="357390330">
      <w:bodyDiv w:val="1"/>
      <w:marLeft w:val="0"/>
      <w:marRight w:val="0"/>
      <w:marTop w:val="0"/>
      <w:marBottom w:val="0"/>
      <w:divBdr>
        <w:top w:val="none" w:sz="0" w:space="0" w:color="auto"/>
        <w:left w:val="none" w:sz="0" w:space="0" w:color="auto"/>
        <w:bottom w:val="none" w:sz="0" w:space="0" w:color="auto"/>
        <w:right w:val="none" w:sz="0" w:space="0" w:color="auto"/>
      </w:divBdr>
      <w:divsChild>
        <w:div w:id="111946636">
          <w:marLeft w:val="0"/>
          <w:marRight w:val="0"/>
          <w:marTop w:val="360"/>
          <w:marBottom w:val="240"/>
          <w:divBdr>
            <w:top w:val="single" w:sz="6" w:space="1" w:color="D15E10"/>
            <w:left w:val="none" w:sz="0" w:space="0" w:color="auto"/>
            <w:bottom w:val="none" w:sz="0" w:space="0" w:color="auto"/>
            <w:right w:val="none" w:sz="0" w:space="0" w:color="auto"/>
          </w:divBdr>
        </w:div>
        <w:div w:id="430782001">
          <w:marLeft w:val="0"/>
          <w:marRight w:val="240"/>
          <w:marTop w:val="120"/>
          <w:marBottom w:val="288"/>
          <w:divBdr>
            <w:top w:val="none" w:sz="0" w:space="0" w:color="auto"/>
            <w:left w:val="none" w:sz="0" w:space="0" w:color="auto"/>
            <w:bottom w:val="none" w:sz="0" w:space="0" w:color="auto"/>
            <w:right w:val="none" w:sz="0" w:space="0" w:color="auto"/>
          </w:divBdr>
        </w:div>
      </w:divsChild>
    </w:div>
    <w:div w:id="614799363">
      <w:bodyDiv w:val="1"/>
      <w:marLeft w:val="0"/>
      <w:marRight w:val="0"/>
      <w:marTop w:val="0"/>
      <w:marBottom w:val="0"/>
      <w:divBdr>
        <w:top w:val="none" w:sz="0" w:space="0" w:color="auto"/>
        <w:left w:val="none" w:sz="0" w:space="0" w:color="auto"/>
        <w:bottom w:val="none" w:sz="0" w:space="0" w:color="auto"/>
        <w:right w:val="none" w:sz="0" w:space="0" w:color="auto"/>
      </w:divBdr>
      <w:divsChild>
        <w:div w:id="1012028823">
          <w:marLeft w:val="0"/>
          <w:marRight w:val="240"/>
          <w:marTop w:val="120"/>
          <w:marBottom w:val="288"/>
          <w:divBdr>
            <w:top w:val="none" w:sz="0" w:space="0" w:color="auto"/>
            <w:left w:val="none" w:sz="0" w:space="0" w:color="auto"/>
            <w:bottom w:val="none" w:sz="0" w:space="0" w:color="auto"/>
            <w:right w:val="none" w:sz="0" w:space="0" w:color="auto"/>
          </w:divBdr>
        </w:div>
      </w:divsChild>
    </w:div>
    <w:div w:id="676464292">
      <w:bodyDiv w:val="1"/>
      <w:marLeft w:val="0"/>
      <w:marRight w:val="0"/>
      <w:marTop w:val="0"/>
      <w:marBottom w:val="0"/>
      <w:divBdr>
        <w:top w:val="none" w:sz="0" w:space="0" w:color="auto"/>
        <w:left w:val="none" w:sz="0" w:space="0" w:color="auto"/>
        <w:bottom w:val="none" w:sz="0" w:space="0" w:color="auto"/>
        <w:right w:val="none" w:sz="0" w:space="0" w:color="auto"/>
      </w:divBdr>
      <w:divsChild>
        <w:div w:id="1711690419">
          <w:marLeft w:val="0"/>
          <w:marRight w:val="240"/>
          <w:marTop w:val="120"/>
          <w:marBottom w:val="288"/>
          <w:divBdr>
            <w:top w:val="none" w:sz="0" w:space="0" w:color="auto"/>
            <w:left w:val="none" w:sz="0" w:space="0" w:color="auto"/>
            <w:bottom w:val="none" w:sz="0" w:space="0" w:color="auto"/>
            <w:right w:val="none" w:sz="0" w:space="0" w:color="auto"/>
          </w:divBdr>
        </w:div>
        <w:div w:id="75782515">
          <w:marLeft w:val="0"/>
          <w:marRight w:val="240"/>
          <w:marTop w:val="120"/>
          <w:marBottom w:val="288"/>
          <w:divBdr>
            <w:top w:val="none" w:sz="0" w:space="0" w:color="auto"/>
            <w:left w:val="none" w:sz="0" w:space="0" w:color="auto"/>
            <w:bottom w:val="none" w:sz="0" w:space="0" w:color="auto"/>
            <w:right w:val="none" w:sz="0" w:space="0" w:color="auto"/>
          </w:divBdr>
        </w:div>
      </w:divsChild>
    </w:div>
    <w:div w:id="730345975">
      <w:bodyDiv w:val="1"/>
      <w:marLeft w:val="0"/>
      <w:marRight w:val="0"/>
      <w:marTop w:val="0"/>
      <w:marBottom w:val="0"/>
      <w:divBdr>
        <w:top w:val="none" w:sz="0" w:space="0" w:color="auto"/>
        <w:left w:val="none" w:sz="0" w:space="0" w:color="auto"/>
        <w:bottom w:val="none" w:sz="0" w:space="0" w:color="auto"/>
        <w:right w:val="none" w:sz="0" w:space="0" w:color="auto"/>
      </w:divBdr>
      <w:divsChild>
        <w:div w:id="2103869370">
          <w:marLeft w:val="0"/>
          <w:marRight w:val="0"/>
          <w:marTop w:val="360"/>
          <w:marBottom w:val="240"/>
          <w:divBdr>
            <w:top w:val="single" w:sz="6" w:space="1" w:color="D15E10"/>
            <w:left w:val="none" w:sz="0" w:space="0" w:color="auto"/>
            <w:bottom w:val="none" w:sz="0" w:space="0" w:color="auto"/>
            <w:right w:val="none" w:sz="0" w:space="0" w:color="auto"/>
          </w:divBdr>
        </w:div>
        <w:div w:id="1358772060">
          <w:marLeft w:val="0"/>
          <w:marRight w:val="240"/>
          <w:marTop w:val="120"/>
          <w:marBottom w:val="288"/>
          <w:divBdr>
            <w:top w:val="none" w:sz="0" w:space="0" w:color="auto"/>
            <w:left w:val="none" w:sz="0" w:space="0" w:color="auto"/>
            <w:bottom w:val="none" w:sz="0" w:space="0" w:color="auto"/>
            <w:right w:val="none" w:sz="0" w:space="0" w:color="auto"/>
          </w:divBdr>
        </w:div>
        <w:div w:id="1320108731">
          <w:marLeft w:val="0"/>
          <w:marRight w:val="0"/>
          <w:marTop w:val="360"/>
          <w:marBottom w:val="240"/>
          <w:divBdr>
            <w:top w:val="single" w:sz="6" w:space="1" w:color="D15E10"/>
            <w:left w:val="none" w:sz="0" w:space="0" w:color="auto"/>
            <w:bottom w:val="none" w:sz="0" w:space="0" w:color="auto"/>
            <w:right w:val="none" w:sz="0" w:space="0" w:color="auto"/>
          </w:divBdr>
        </w:div>
        <w:div w:id="764152287">
          <w:marLeft w:val="0"/>
          <w:marRight w:val="240"/>
          <w:marTop w:val="120"/>
          <w:marBottom w:val="288"/>
          <w:divBdr>
            <w:top w:val="none" w:sz="0" w:space="0" w:color="auto"/>
            <w:left w:val="none" w:sz="0" w:space="0" w:color="auto"/>
            <w:bottom w:val="none" w:sz="0" w:space="0" w:color="auto"/>
            <w:right w:val="none" w:sz="0" w:space="0" w:color="auto"/>
          </w:divBdr>
        </w:div>
      </w:divsChild>
    </w:div>
    <w:div w:id="1070537043">
      <w:bodyDiv w:val="1"/>
      <w:marLeft w:val="0"/>
      <w:marRight w:val="0"/>
      <w:marTop w:val="0"/>
      <w:marBottom w:val="0"/>
      <w:divBdr>
        <w:top w:val="none" w:sz="0" w:space="0" w:color="auto"/>
        <w:left w:val="none" w:sz="0" w:space="0" w:color="auto"/>
        <w:bottom w:val="none" w:sz="0" w:space="0" w:color="auto"/>
        <w:right w:val="none" w:sz="0" w:space="0" w:color="auto"/>
      </w:divBdr>
      <w:divsChild>
        <w:div w:id="176893850">
          <w:marLeft w:val="0"/>
          <w:marRight w:val="0"/>
          <w:marTop w:val="360"/>
          <w:marBottom w:val="240"/>
          <w:divBdr>
            <w:top w:val="single" w:sz="6" w:space="1" w:color="D15E10"/>
            <w:left w:val="none" w:sz="0" w:space="0" w:color="auto"/>
            <w:bottom w:val="none" w:sz="0" w:space="0" w:color="auto"/>
            <w:right w:val="none" w:sz="0" w:space="0" w:color="auto"/>
          </w:divBdr>
        </w:div>
        <w:div w:id="1658799554">
          <w:marLeft w:val="0"/>
          <w:marRight w:val="240"/>
          <w:marTop w:val="120"/>
          <w:marBottom w:val="288"/>
          <w:divBdr>
            <w:top w:val="none" w:sz="0" w:space="0" w:color="auto"/>
            <w:left w:val="none" w:sz="0" w:space="0" w:color="auto"/>
            <w:bottom w:val="none" w:sz="0" w:space="0" w:color="auto"/>
            <w:right w:val="none" w:sz="0" w:space="0" w:color="auto"/>
          </w:divBdr>
        </w:div>
      </w:divsChild>
    </w:div>
    <w:div w:id="1266619723">
      <w:bodyDiv w:val="1"/>
      <w:marLeft w:val="0"/>
      <w:marRight w:val="0"/>
      <w:marTop w:val="0"/>
      <w:marBottom w:val="0"/>
      <w:divBdr>
        <w:top w:val="none" w:sz="0" w:space="0" w:color="auto"/>
        <w:left w:val="none" w:sz="0" w:space="0" w:color="auto"/>
        <w:bottom w:val="none" w:sz="0" w:space="0" w:color="auto"/>
        <w:right w:val="none" w:sz="0" w:space="0" w:color="auto"/>
      </w:divBdr>
    </w:div>
    <w:div w:id="1848324975">
      <w:bodyDiv w:val="1"/>
      <w:marLeft w:val="0"/>
      <w:marRight w:val="0"/>
      <w:marTop w:val="0"/>
      <w:marBottom w:val="0"/>
      <w:divBdr>
        <w:top w:val="none" w:sz="0" w:space="0" w:color="auto"/>
        <w:left w:val="none" w:sz="0" w:space="0" w:color="auto"/>
        <w:bottom w:val="none" w:sz="0" w:space="0" w:color="auto"/>
        <w:right w:val="none" w:sz="0" w:space="0" w:color="auto"/>
      </w:divBdr>
      <w:divsChild>
        <w:div w:id="1162964746">
          <w:marLeft w:val="0"/>
          <w:marRight w:val="0"/>
          <w:marTop w:val="360"/>
          <w:marBottom w:val="240"/>
          <w:divBdr>
            <w:top w:val="single" w:sz="6" w:space="1" w:color="D15E10"/>
            <w:left w:val="none" w:sz="0" w:space="0" w:color="auto"/>
            <w:bottom w:val="none" w:sz="0" w:space="0" w:color="auto"/>
            <w:right w:val="none" w:sz="0" w:space="0" w:color="auto"/>
          </w:divBdr>
        </w:div>
        <w:div w:id="1452482675">
          <w:marLeft w:val="0"/>
          <w:marRight w:val="240"/>
          <w:marTop w:val="120"/>
          <w:marBottom w:val="288"/>
          <w:divBdr>
            <w:top w:val="none" w:sz="0" w:space="0" w:color="auto"/>
            <w:left w:val="none" w:sz="0" w:space="0" w:color="auto"/>
            <w:bottom w:val="none" w:sz="0" w:space="0" w:color="auto"/>
            <w:right w:val="none" w:sz="0" w:space="0" w:color="auto"/>
          </w:divBdr>
        </w:div>
      </w:divsChild>
    </w:div>
    <w:div w:id="1975215252">
      <w:bodyDiv w:val="1"/>
      <w:marLeft w:val="0"/>
      <w:marRight w:val="0"/>
      <w:marTop w:val="0"/>
      <w:marBottom w:val="0"/>
      <w:divBdr>
        <w:top w:val="none" w:sz="0" w:space="0" w:color="auto"/>
        <w:left w:val="none" w:sz="0" w:space="0" w:color="auto"/>
        <w:bottom w:val="none" w:sz="0" w:space="0" w:color="auto"/>
        <w:right w:val="none" w:sz="0" w:space="0" w:color="auto"/>
      </w:divBdr>
      <w:divsChild>
        <w:div w:id="1305893280">
          <w:marLeft w:val="0"/>
          <w:marRight w:val="240"/>
          <w:marTop w:val="12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commandingheights/shared/minitextlo/int_vicentefox.html" TargetMode="External"/><Relationship Id="rId5" Type="http://schemas.openxmlformats.org/officeDocument/2006/relationships/hyperlink" Target="http://www.pbs.org/wgbh/commandingheights/lo/story/ch_menu_0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2018-01-26T23:50:00Z</dcterms:created>
  <dcterms:modified xsi:type="dcterms:W3CDTF">2018-01-27T00:02:00Z</dcterms:modified>
</cp:coreProperties>
</file>