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/>
      </w:pPr>
      <w:r>
        <w:rPr>
          <w:rFonts w:cs="Calibri" w:cstheme="minorHAnsi"/>
          <w:b/>
          <w:color w:val="000000" w:themeColor="text1"/>
          <w:sz w:val="24"/>
          <w:szCs w:val="24"/>
        </w:rPr>
        <w:br/>
        <w:t>Research Outline</w:t>
        <w:br/>
        <w:t>Anti-Malware Technique</w:t>
        <w:br/>
        <w:br/>
        <w:br/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40" w:right="1440" w:header="708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414141"/>
          <w:sz w:val="24"/>
          <w:szCs w:val="24"/>
        </w:rPr>
        <w:t>I. INTRODUCTION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t>a. Purpose Statement</w:t>
        <w:br/>
        <w:t xml:space="preserve">b. Anti-malware software is not 100% successful and what can be done to improve them.  </w:t>
        <w:br/>
        <w:t>c. Significance of the Study</w:t>
        <w:br/>
        <w:br/>
      </w:r>
      <w:r>
        <w:rPr>
          <w:rFonts w:eastAsia="Times New Roman" w:cs="Times New Roman" w:ascii="Times New Roman" w:hAnsi="Times New Roman"/>
          <w:b/>
          <w:bCs/>
          <w:color w:val="414141"/>
          <w:sz w:val="24"/>
          <w:szCs w:val="24"/>
        </w:rPr>
        <w:t>II. MAIN TOPIC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t>(Details are placed in a logical order and correspond to the structure presented in the introduction.</w:t>
        <w:br/>
        <w:t>(Information clearly relates to the main topic. It includes several supporting details and/or examples.)</w:t>
        <w:br/>
        <w:t>(Supporting research studies and/or reports are research-based and accurately reported.)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br/>
        <w:t>a. Sub points</w:t>
        <w:br/>
        <w:t>b. Sub points</w:t>
        <w:br/>
        <w:t>c. Sub points </w:t>
        <w:br/>
        <w:br/>
      </w:r>
      <w:r>
        <w:rPr>
          <w:rFonts w:eastAsia="Times New Roman" w:cs="Times New Roman" w:ascii="Times New Roman" w:hAnsi="Times New Roman"/>
          <w:b/>
          <w:bCs/>
          <w:color w:val="414141"/>
          <w:sz w:val="24"/>
          <w:szCs w:val="24"/>
        </w:rPr>
        <w:t>III. CONCLUSION</w:t>
      </w: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br/>
        <w:t>(The conclusion effectively summarizes the discussion and provides at least two recommendations for further research.)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br/>
        <w:t>a.     Review of the Problem or Research Question</w:t>
        <w:br/>
        <w:t>b.     Summary of Literature Review</w:t>
        <w:br/>
        <w:t>c.      Recommendations based on the Literature Review</w:t>
        <w:br/>
        <w:br/>
      </w:r>
      <w:r>
        <w:rPr>
          <w:rFonts w:eastAsia="Times New Roman" w:cs="Times New Roman" w:ascii="Times New Roman" w:hAnsi="Times New Roman"/>
          <w:b/>
          <w:bCs/>
          <w:color w:val="414141"/>
          <w:sz w:val="24"/>
          <w:szCs w:val="24"/>
        </w:rPr>
        <w:t>VI. REFERENCES</w:t>
      </w: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br/>
        <w:t>(All sources (information and graphics) are accurately documented in APA)</w:t>
        <w:br/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414141"/>
          <w:sz w:val="24"/>
          <w:szCs w:val="24"/>
        </w:rPr>
      </w:pPr>
      <w:r>
        <w:rPr>
          <w:rFonts w:eastAsia="Times New Roman" w:cs="Times New Roman" w:ascii="Times New Roman" w:hAnsi="Times New Roman"/>
          <w:color w:val="414141"/>
          <w:sz w:val="24"/>
          <w:szCs w:val="24"/>
        </w:rPr>
        <w:t>a.    Source 1</w:t>
        <w:br/>
        <w:t>b.    Source 2</w:t>
        <w:br/>
        <w:t>c.    Source 3</w:t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480"/>
        <w:rPr>
          <w:rFonts w:cs="Calibri" w:cstheme="minorHAnsi"/>
          <w:b/>
          <w:b/>
          <w:color w:val="000000" w:themeColor="text1"/>
          <w:sz w:val="24"/>
          <w:szCs w:val="24"/>
          <w:u w:val="single"/>
        </w:rPr>
      </w:pPr>
      <w:r>
        <w:rPr>
          <w:rFonts w:cs="Calibri" w:cstheme="minorHAnsi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480"/>
        <w:rPr>
          <w:rFonts w:cs="Calibri" w:cstheme="minorHAnsi"/>
          <w:b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cs="Calibri" w:cstheme="minorHAnsi"/>
          <w:b/>
          <w:color w:val="000000" w:themeColor="text1"/>
          <w:sz w:val="24"/>
          <w:szCs w:val="24"/>
          <w:u w:val="single"/>
        </w:rPr>
        <w:t>List of References:</w:t>
      </w:r>
    </w:p>
    <w:p>
      <w:pPr>
        <w:pStyle w:val="Normal"/>
        <w:widowControl w:val="false"/>
        <w:spacing w:lineRule="auto" w:line="480"/>
        <w:ind w:left="480" w:hanging="480"/>
        <w:rPr/>
      </w:pPr>
      <w:r>
        <w:fldChar w:fldCharType="begin"/>
      </w:r>
      <w:r>
        <w:instrText>ADDIN Mendeley Bibliography CSL_BIBLIOGRAPHY</w:instrText>
      </w:r>
      <w:r>
        <w:fldChar w:fldCharType="separate"/>
      </w:r>
      <w:bookmarkStart w:id="1" w:name="__Fieldmark__168_2741977920"/>
      <w:r>
        <w:rPr/>
      </w:r>
      <w:r>
        <w:rPr>
          <w:rFonts w:cs="Calibri" w:cstheme="minorHAnsi"/>
          <w:sz w:val="24"/>
          <w:szCs w:val="24"/>
        </w:rPr>
        <w:t xml:space="preserve">Boileau, C., Gagnon, F., Poisson, J., Frenette, S., &amp; Mejri, M. (2017). A Comparative Study of Android Malware Behavior in Different Contexts. </w:t>
      </w:r>
      <w:r>
        <w:rPr>
          <w:rFonts w:cs="Calibri" w:cstheme="minorHAnsi"/>
          <w:i/>
          <w:iCs/>
          <w:sz w:val="24"/>
          <w:szCs w:val="24"/>
        </w:rPr>
        <w:t>Universite Laval, Quebec, Canada</w:t>
      </w:r>
      <w:r>
        <w:rPr>
          <w:rFonts w:cs="Calibri" w:cstheme="minorHAnsi"/>
          <w:sz w:val="24"/>
          <w:szCs w:val="24"/>
        </w:rPr>
        <w:t>, 1–8. Retrieved from http://ieeexplore.ieee.org/document/7966340/</w:t>
      </w:r>
      <w:bookmarkEnd w:id="1"/>
      <w:r>
        <w:rPr>
          <w:rFonts w:cs="Calibri" w:cstheme="minorHAnsi"/>
          <w:sz w:val="24"/>
          <w:szCs w:val="24"/>
        </w:rPr>
      </w:r>
      <w:r>
        <w:fldChar w:fldCharType="end"/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Hardy, S. (2012). </w:t>
      </w:r>
      <w:r>
        <w:rPr>
          <w:rFonts w:cs="Calibri" w:cstheme="minorHAnsi"/>
          <w:i/>
          <w:iCs/>
          <w:sz w:val="24"/>
          <w:szCs w:val="24"/>
        </w:rPr>
        <w:t>IEXPL0RE RAT</w:t>
      </w:r>
      <w:r>
        <w:rPr>
          <w:rFonts w:cs="Calibri" w:cstheme="minorHAnsi"/>
          <w:sz w:val="24"/>
          <w:szCs w:val="24"/>
        </w:rPr>
        <w:t>. Toronto, Canada.</w:t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Kondalwar, M. N., &amp; Shelke, P. C. J. (2014). Remote Administrative Trojan / Tool ( RAT ). </w:t>
      </w:r>
      <w:r>
        <w:rPr>
          <w:rFonts w:cs="Calibri" w:cstheme="minorHAnsi"/>
          <w:i/>
          <w:iCs/>
          <w:sz w:val="24"/>
          <w:szCs w:val="24"/>
        </w:rPr>
        <w:t>International Journal of Computer Science and Mobile Computing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cs="Calibri" w:cstheme="minorHAnsi"/>
          <w:i/>
          <w:iCs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>(3), 482–487.</w:t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Lesakova, L. (2014). SMALL AND MEDIUM ENTERPRISES IN THE NEW WORLD Of GLOBALIZATION. </w:t>
      </w:r>
      <w:r>
        <w:rPr>
          <w:rFonts w:cs="Calibri" w:cstheme="minorHAnsi"/>
          <w:i/>
          <w:iCs/>
          <w:sz w:val="24"/>
          <w:szCs w:val="24"/>
        </w:rPr>
        <w:t>Forum Scientiae Oeconomia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cs="Calibri" w:cstheme="minorHAnsi"/>
          <w:i/>
          <w:iCs/>
          <w:sz w:val="24"/>
          <w:szCs w:val="24"/>
        </w:rPr>
        <w:t>2</w:t>
      </w:r>
      <w:r>
        <w:rPr>
          <w:rFonts w:cs="Calibri" w:cstheme="minorHAnsi"/>
          <w:sz w:val="24"/>
          <w:szCs w:val="24"/>
        </w:rPr>
        <w:t>(3), 111–122.</w:t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Mundie, D. a., &amp; Mcintire, D. M. (2013). </w:t>
      </w:r>
      <w:r>
        <w:rPr>
          <w:rFonts w:cs="Calibri" w:cstheme="minorHAnsi"/>
          <w:i/>
          <w:iCs/>
          <w:sz w:val="24"/>
          <w:szCs w:val="24"/>
        </w:rPr>
        <w:t>The MAL: A Malware Analysis Lexicon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iCs/>
          <w:sz w:val="24"/>
          <w:szCs w:val="24"/>
        </w:rPr>
        <w:t>Software Engineering Institute</w:t>
      </w:r>
      <w:r>
        <w:rPr>
          <w:rFonts w:cs="Calibri" w:cstheme="minorHAnsi"/>
          <w:sz w:val="24"/>
          <w:szCs w:val="24"/>
        </w:rPr>
        <w:t>. https://doi.org/10.1109/ARES.2013.73</w:t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Rieck, K., Trinius, P., Willems, C., &amp; Holz, T. (2011). Automatic Analysis of Malware Behavior Using Machine Learning. </w:t>
      </w:r>
      <w:r>
        <w:rPr>
          <w:rFonts w:cs="Calibri" w:cstheme="minorHAnsi"/>
          <w:i/>
          <w:iCs/>
          <w:sz w:val="24"/>
          <w:szCs w:val="24"/>
        </w:rPr>
        <w:t>Journal of Computer Security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cs="Calibri" w:cstheme="minorHAnsi"/>
          <w:i/>
          <w:iCs/>
          <w:sz w:val="24"/>
          <w:szCs w:val="24"/>
        </w:rPr>
        <w:t>19</w:t>
      </w:r>
      <w:r>
        <w:rPr>
          <w:rFonts w:cs="Calibri" w:cstheme="minorHAnsi"/>
          <w:sz w:val="24"/>
          <w:szCs w:val="24"/>
        </w:rPr>
        <w:t>(4), 639–668. https://doi.org/10.3233/JCS-2010-0410</w:t>
      </w:r>
    </w:p>
    <w:p>
      <w:pPr>
        <w:pStyle w:val="Normal"/>
        <w:widowControl w:val="false"/>
        <w:spacing w:lineRule="auto" w:line="480"/>
        <w:ind w:left="480" w:hanging="48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Sanabria, A. (2007). Malware Analysis: Environment Design and </w:t>
      </w:r>
      <w:r>
        <w:rPr/>
        <w:t>Architecture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iCs/>
          <w:sz w:val="24"/>
          <w:szCs w:val="24"/>
        </w:rPr>
        <w:t>SANS Institute: InfoSec Reading Room</w:t>
      </w:r>
      <w:r>
        <w:rPr>
          <w:rFonts w:cs="Calibri" w:cstheme="minorHAnsi"/>
          <w:sz w:val="24"/>
          <w:szCs w:val="24"/>
        </w:rPr>
        <w:t xml:space="preserve">, </w:t>
      </w:r>
      <w:r>
        <w:rPr>
          <w:rFonts w:cs="Calibri" w:cstheme="minorHAnsi"/>
          <w:i/>
          <w:iCs/>
          <w:sz w:val="24"/>
          <w:szCs w:val="24"/>
        </w:rPr>
        <w:t>1</w:t>
      </w:r>
      <w:r>
        <w:rPr>
          <w:rFonts w:cs="Calibri" w:cstheme="minorHAnsi"/>
          <w:sz w:val="24"/>
          <w:szCs w:val="24"/>
        </w:rPr>
        <w:t>, 1–60.</w:t>
      </w:r>
    </w:p>
    <w:p>
      <w:pPr>
        <w:pStyle w:val="Normal"/>
        <w:spacing w:lineRule="auto" w:line="48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  <w:shd w:fill="F1F4F5" w:val="clear"/>
        </w:rPr>
        <w:t>“</w:t>
      </w:r>
      <w:r>
        <w:rPr>
          <w:rFonts w:cs="Calibri" w:cstheme="minorHAnsi"/>
          <w:color w:val="000000" w:themeColor="text1"/>
          <w:sz w:val="24"/>
          <w:szCs w:val="24"/>
          <w:shd w:fill="F1F4F5" w:val="clear"/>
        </w:rPr>
        <w:t>Understand the Different Malware Types.” </w:t>
      </w:r>
      <w:r>
        <w:rPr>
          <w:rFonts w:cs="Calibri" w:cstheme="minorHAnsi"/>
          <w:i/>
          <w:iCs/>
          <w:color w:val="000000" w:themeColor="text1"/>
          <w:sz w:val="24"/>
          <w:szCs w:val="24"/>
          <w:shd w:fill="F1F4F5" w:val="clear"/>
        </w:rPr>
        <w:t>Microsoft</w:t>
      </w:r>
      <w:r>
        <w:rPr>
          <w:rFonts w:cs="Calibri" w:cstheme="minorHAnsi"/>
          <w:color w:val="000000" w:themeColor="text1"/>
          <w:sz w:val="24"/>
          <w:szCs w:val="24"/>
          <w:shd w:fill="F1F4F5" w:val="clear"/>
        </w:rPr>
        <w:t>, 9 Feb. 2018, www.microsoft.com/en-us/wdsi/threats.</w:t>
      </w:r>
    </w:p>
    <w:p>
      <w:pPr>
        <w:pStyle w:val="Normal"/>
        <w:widowControl w:val="false"/>
        <w:spacing w:lineRule="auto" w:line="480" w:before="0" w:after="160"/>
        <w:ind w:left="480" w:hanging="480"/>
        <w:rPr/>
      </w:pPr>
      <w:r>
        <w:rPr>
          <w:rFonts w:cs="Calibri" w:cstheme="minorHAnsi"/>
          <w:sz w:val="24"/>
          <w:szCs w:val="24"/>
        </w:rPr>
        <w:t xml:space="preserve">Zeltser, L. (2010). </w:t>
      </w:r>
      <w:r>
        <w:rPr>
          <w:rFonts w:cs="Calibri" w:cstheme="minorHAnsi"/>
          <w:i/>
          <w:iCs/>
          <w:sz w:val="24"/>
          <w:szCs w:val="24"/>
        </w:rPr>
        <w:t>Introduction To Malware Analysis</w:t>
      </w:r>
      <w:r>
        <w:rPr>
          <w:rFonts w:cs="Calibri" w:cstheme="minorHAnsi"/>
          <w:sz w:val="24"/>
          <w:szCs w:val="24"/>
        </w:rPr>
        <w:t>.</w:t>
      </w:r>
    </w:p>
    <w:p>
      <w:pPr>
        <w:sectPr>
          <w:type w:val="continuous"/>
          <w:pgSz w:w="11906" w:h="16838"/>
          <w:pgMar w:left="1440" w:right="1440" w:header="708" w:top="1440" w:footer="0" w:bottom="1440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905690"/>
    </w:sdtPr>
    <w:sdtContent>
      <w:p>
        <w:pPr>
          <w:pStyle w:val="Header"/>
          <w:rPr/>
        </w:pPr>
        <w:r>
          <w:rPr>
            <w:sz w:val="24"/>
            <w:szCs w:val="24"/>
          </w:rPr>
          <w:t>Running Head: Research Proposal</w:t>
          <w:tab/>
          <w:tab/>
        </w:r>
        <w:r>
          <w:rPr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Header"/>
          <w:rPr>
            <w:sz w:val="24"/>
            <w:szCs w:val="24"/>
          </w:rPr>
        </w:pPr>
        <w:r>
          <w:rPr>
            <w:sz w:val="24"/>
            <w:szCs w:val="24"/>
          </w:rPr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3e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17c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17cdd"/>
    <w:rPr/>
  </w:style>
  <w:style w:type="character" w:styleId="Strong">
    <w:name w:val="Strong"/>
    <w:basedOn w:val="DefaultParagraphFont"/>
    <w:uiPriority w:val="22"/>
    <w:qFormat/>
    <w:rsid w:val="00ce5a3a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17cd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17cd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e5a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EE22-B531-4782-9543-E32217F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LibreOffice/5.4.1.2$Linux_X86_64 LibreOffice_project/40m0$Build-2</Application>
  <Pages>3</Pages>
  <Words>318</Words>
  <Characters>1945</Characters>
  <CharactersWithSpaces>2274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2018-02-18T13:17:00Z</dcterms:created>
  <dc:creator>Windows User</dc:creator>
  <dc:description/>
  <dc:language>en-US</dc:language>
  <cp:lastModifiedBy/>
  <dcterms:modified xsi:type="dcterms:W3CDTF">2018-02-18T15:41:59Z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endeley Citation Style_1">
    <vt:lpwstr>http://www.zotero.org/styles/apa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Id 7_1">
    <vt:lpwstr>http://www.zotero.org/styles/modern-humanities-research-association</vt:lpwstr>
  </property>
  <property fmtid="{D5CDD505-2E9C-101B-9397-08002B2CF9AE}" pid="16" name="Mendeley Recent Style Id 8_1">
    <vt:lpwstr>http://www.zotero.org/styles/modern-language-association</vt:lpwstr>
  </property>
  <property fmtid="{D5CDD505-2E9C-101B-9397-08002B2CF9AE}" pid="17" name="Mendeley Recent Style Id 9_1">
    <vt:lpwstr>http://www.zotero.org/styles/nature</vt:lpwstr>
  </property>
  <property fmtid="{D5CDD505-2E9C-101B-9397-08002B2CF9AE}" pid="18" name="Mendeley Recent Style Name 0_1">
    <vt:lpwstr>American Political Science Association</vt:lpwstr>
  </property>
  <property fmtid="{D5CDD505-2E9C-101B-9397-08002B2CF9AE}" pid="19" name="Mendeley Recent Style Name 1_1">
    <vt:lpwstr>American Psychological Association 6th edition</vt:lpwstr>
  </property>
  <property fmtid="{D5CDD505-2E9C-101B-9397-08002B2CF9AE}" pid="20" name="Mendeley Recent Style Name 2_1">
    <vt:lpwstr>American Sociological Association</vt:lpwstr>
  </property>
  <property fmtid="{D5CDD505-2E9C-101B-9397-08002B2CF9AE}" pid="21" name="Mendeley Recent Style Name 3_1">
    <vt:lpwstr>Chicago Manual of Style 17th edition (author-date)</vt:lpwstr>
  </property>
  <property fmtid="{D5CDD505-2E9C-101B-9397-08002B2CF9AE}" pid="22" name="Mendeley Recent Style Name 4_1">
    <vt:lpwstr>Cite Them Right 10th edition - Harvard</vt:lpwstr>
  </property>
  <property fmtid="{D5CDD505-2E9C-101B-9397-08002B2CF9AE}" pid="23" name="Mendeley Recent Style Name 5_1">
    <vt:lpwstr>Harvard reference format 1 (deprecated)</vt:lpwstr>
  </property>
  <property fmtid="{D5CDD505-2E9C-101B-9397-08002B2CF9AE}" pid="24" name="Mendeley Recent Style Name 6_1">
    <vt:lpwstr>IEEE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Name 9_1">
    <vt:lpwstr>Nature</vt:lpwstr>
  </property>
  <property fmtid="{D5CDD505-2E9C-101B-9397-08002B2CF9AE}" pid="28" name="Mendeley Unique User Id_1">
    <vt:lpwstr>d5f4f084-6b3f-3fc4-bd6c-0789f7b0a7d4</vt:lpwstr>
  </property>
  <property fmtid="{D5CDD505-2E9C-101B-9397-08002B2CF9AE}" pid="29" name="ScaleCrop">
    <vt:bool>0</vt:bool>
  </property>
  <property fmtid="{D5CDD505-2E9C-101B-9397-08002B2CF9AE}" pid="30" name="ShareDoc">
    <vt:bool>0</vt:bool>
  </property>
</Properties>
</file>