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CE" w:rsidRDefault="002914CE" w:rsidP="002914CE">
      <w:pPr>
        <w:spacing w:after="0" w:line="480" w:lineRule="auto"/>
        <w:rPr>
          <w:rFonts w:ascii="Book Antiqua" w:hAnsi="Book Antiqua" w:cs="Courier New"/>
          <w:b/>
          <w:sz w:val="24"/>
          <w:szCs w:val="24"/>
        </w:rPr>
      </w:pPr>
      <w:bookmarkStart w:id="0" w:name="_GoBack"/>
      <w:bookmarkEnd w:id="0"/>
      <w:r w:rsidRPr="00F125E0">
        <w:rPr>
          <w:rFonts w:ascii="Book Antiqua" w:hAnsi="Book Antiqua" w:cs="Courier New"/>
          <w:b/>
          <w:sz w:val="24"/>
          <w:szCs w:val="24"/>
        </w:rPr>
        <w:t>Bibliography</w:t>
      </w:r>
    </w:p>
    <w:p w:rsidR="002914CE" w:rsidRDefault="002914CE" w:rsidP="002914CE">
      <w:pPr>
        <w:spacing w:after="0"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Primary Source/s</w:t>
      </w: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Habermas, Jurgen.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Toward A rational Society translated by Jeremy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t xml:space="preserve">     Shapiro</w:t>
      </w:r>
      <w:r w:rsidRPr="00F125E0">
        <w:rPr>
          <w:rFonts w:ascii="Book Antiqua" w:hAnsi="Book Antiqua" w:cs="Courier New"/>
          <w:sz w:val="24"/>
          <w:szCs w:val="24"/>
        </w:rPr>
        <w:t>. Boston: Beacon Press, 1970.</w:t>
      </w:r>
    </w:p>
    <w:p w:rsidR="00E52ADD" w:rsidRPr="00F125E0" w:rsidRDefault="002E5C37" w:rsidP="00E52ADD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r>
        <w:rPr>
          <w:rFonts w:ascii="Book Antiqua" w:hAnsi="Book Antiqua" w:cs="Courier New"/>
          <w:i/>
          <w:sz w:val="24"/>
          <w:szCs w:val="24"/>
        </w:rPr>
        <w:t>Theory of Communicative Action Vol 2</w:t>
      </w:r>
      <w:r w:rsidRPr="00F125E0">
        <w:rPr>
          <w:rFonts w:ascii="Book Antiqua" w:hAnsi="Book Antiqua" w:cs="Courier New"/>
          <w:sz w:val="24"/>
          <w:szCs w:val="24"/>
        </w:rPr>
        <w:t xml:space="preserve">. </w:t>
      </w:r>
      <w:r w:rsidR="00E52ADD" w:rsidRPr="00F125E0">
        <w:rPr>
          <w:rFonts w:ascii="Book Antiqua" w:hAnsi="Book Antiqua" w:cs="Courier New"/>
          <w:sz w:val="24"/>
          <w:szCs w:val="24"/>
        </w:rPr>
        <w:t xml:space="preserve">Boston: Beacon Press, </w:t>
      </w:r>
    </w:p>
    <w:p w:rsidR="00E52ADD" w:rsidRPr="00F125E0" w:rsidRDefault="00E52ADD" w:rsidP="00E52ADD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</w:t>
      </w:r>
      <w:r>
        <w:rPr>
          <w:rFonts w:ascii="Book Antiqua" w:hAnsi="Book Antiqua" w:cs="Courier New"/>
          <w:sz w:val="24"/>
          <w:szCs w:val="24"/>
        </w:rPr>
        <w:t>987</w:t>
      </w:r>
      <w:r w:rsidRPr="00F125E0">
        <w:rPr>
          <w:rFonts w:ascii="Book Antiqua" w:hAnsi="Book Antiqua" w:cs="Courier New"/>
          <w:sz w:val="24"/>
          <w:szCs w:val="24"/>
        </w:rPr>
        <w:t>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r w:rsidRPr="00F125E0">
        <w:rPr>
          <w:rFonts w:ascii="Book Antiqua" w:hAnsi="Book Antiqua" w:cs="Courier New"/>
          <w:i/>
          <w:sz w:val="24"/>
          <w:szCs w:val="24"/>
        </w:rPr>
        <w:t>Critic in the Public Sphere</w:t>
      </w:r>
      <w:r w:rsidRPr="00F125E0">
        <w:rPr>
          <w:rFonts w:ascii="Book Antiqua" w:hAnsi="Book Antiqua" w:cs="Courier New"/>
          <w:sz w:val="24"/>
          <w:szCs w:val="24"/>
        </w:rPr>
        <w:t xml:space="preserve">. London: Routledge,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1991.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Legitimation Crisis. </w:t>
      </w:r>
      <w:r w:rsidRPr="00F125E0">
        <w:rPr>
          <w:rFonts w:ascii="Book Antiqua" w:hAnsi="Book Antiqua" w:cs="Courier New"/>
          <w:sz w:val="24"/>
          <w:szCs w:val="24"/>
        </w:rPr>
        <w:t xml:space="preserve">Boston: Beacon Press,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1973.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Communication and Evolution of Society. </w:t>
      </w:r>
      <w:r w:rsidRPr="00F125E0">
        <w:rPr>
          <w:rFonts w:ascii="Book Antiqua" w:hAnsi="Book Antiqua" w:cs="Courier New"/>
          <w:sz w:val="24"/>
          <w:szCs w:val="24"/>
        </w:rPr>
        <w:t xml:space="preserve">Boston: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Beacon Press, 1976.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r w:rsidRPr="00F125E0">
        <w:rPr>
          <w:rFonts w:ascii="Book Antiqua" w:hAnsi="Book Antiqua" w:cs="Courier New"/>
          <w:i/>
          <w:sz w:val="24"/>
          <w:szCs w:val="24"/>
        </w:rPr>
        <w:t>On the Pragmatics of Communication.</w:t>
      </w:r>
      <w:r w:rsidRPr="00F125E0">
        <w:rPr>
          <w:rFonts w:ascii="Book Antiqua" w:hAnsi="Book Antiqua" w:cs="Courier New"/>
          <w:sz w:val="24"/>
          <w:szCs w:val="24"/>
        </w:rPr>
        <w:t xml:space="preserve"> Cambridge: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F125E0">
        <w:rPr>
          <w:rFonts w:ascii="Book Antiqua" w:hAnsi="Book Antiqua" w:cs="Courier New"/>
          <w:sz w:val="24"/>
          <w:szCs w:val="24"/>
        </w:rPr>
        <w:t>THE MIT Press, 1998.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Quimpo, Nathan Gilbert. </w:t>
      </w:r>
      <w:r w:rsidRPr="00813528">
        <w:rPr>
          <w:rFonts w:ascii="Book Antiqua" w:hAnsi="Book Antiqua" w:cs="Times New Roman"/>
          <w:i/>
          <w:sz w:val="24"/>
          <w:szCs w:val="24"/>
        </w:rPr>
        <w:t>Countries at the Crossroads</w:t>
      </w:r>
      <w:r>
        <w:rPr>
          <w:rFonts w:ascii="Book Antiqua" w:hAnsi="Book Antiqua" w:cs="Times New Roman"/>
          <w:sz w:val="24"/>
          <w:szCs w:val="24"/>
        </w:rPr>
        <w:t xml:space="preserve">. Phils.: Freedom House, 2011. 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Montiel, Cristina Jayme. </w:t>
      </w:r>
      <w:r w:rsidRPr="009A6785">
        <w:rPr>
          <w:rFonts w:ascii="Book Antiqua" w:hAnsi="Book Antiqua" w:cs="Times New Roman"/>
          <w:i/>
          <w:sz w:val="24"/>
          <w:szCs w:val="24"/>
        </w:rPr>
        <w:t xml:space="preserve">Philippine Political Culture View From Inside the Halls of </w:t>
      </w:r>
      <w:r>
        <w:rPr>
          <w:rFonts w:ascii="Book Antiqua" w:hAnsi="Book Antiqua" w:cs="Times New Roman"/>
          <w:i/>
          <w:sz w:val="24"/>
          <w:szCs w:val="24"/>
        </w:rPr>
        <w:t xml:space="preserve">  </w:t>
      </w:r>
      <w:r w:rsidRPr="009A6785">
        <w:rPr>
          <w:rFonts w:ascii="Book Antiqua" w:hAnsi="Book Antiqua" w:cs="Times New Roman"/>
          <w:i/>
          <w:sz w:val="24"/>
          <w:szCs w:val="24"/>
        </w:rPr>
        <w:t>Power: Philippine Political Culture and Governance</w:t>
      </w:r>
      <w:r>
        <w:rPr>
          <w:rFonts w:ascii="Book Antiqua" w:hAnsi="Book Antiqua" w:cs="Times New Roman"/>
          <w:sz w:val="24"/>
          <w:szCs w:val="24"/>
        </w:rPr>
        <w:t>. Phils: UNDP, 2002.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Ceniza, Claro R. Filipino Cultural Traits ed. By Rolando Gripaldo. USA:TCRVP, 2005.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Secondary Source/s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Boyne, Roy and Rattansi, Ali. </w:t>
      </w:r>
      <w:r w:rsidRPr="00F125E0">
        <w:rPr>
          <w:rFonts w:ascii="Book Antiqua" w:hAnsi="Book Antiqua" w:cs="Courier New"/>
          <w:i/>
          <w:sz w:val="24"/>
          <w:szCs w:val="24"/>
        </w:rPr>
        <w:t>Postmodernism and Society</w:t>
      </w:r>
      <w:r w:rsidRPr="00F125E0">
        <w:rPr>
          <w:rFonts w:ascii="Book Antiqua" w:hAnsi="Book Antiqua" w:cs="Courier New"/>
          <w:sz w:val="24"/>
          <w:szCs w:val="24"/>
        </w:rPr>
        <w:t xml:space="preserve">. London: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lastRenderedPageBreak/>
        <w:t xml:space="preserve">     The Macmillan Press, 1993.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Braeten, Jane. </w:t>
      </w:r>
      <w:r w:rsidRPr="00F125E0">
        <w:rPr>
          <w:rFonts w:ascii="Book Antiqua" w:hAnsi="Book Antiqua" w:cs="Courier New"/>
          <w:i/>
          <w:sz w:val="24"/>
          <w:szCs w:val="24"/>
        </w:rPr>
        <w:t>Habermas’ Critical Theory of Society</w:t>
      </w:r>
      <w:r w:rsidRPr="00F125E0">
        <w:rPr>
          <w:rFonts w:ascii="Book Antiqua" w:hAnsi="Book Antiqua" w:cs="Courier New"/>
          <w:sz w:val="24"/>
          <w:szCs w:val="24"/>
        </w:rPr>
        <w:t xml:space="preserve">. NY: State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University of New York Press, 1991.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Heath, Joseph. </w:t>
      </w:r>
      <w:r w:rsidRPr="00F125E0">
        <w:rPr>
          <w:rFonts w:ascii="Book Antiqua" w:hAnsi="Book Antiqua" w:cs="Courier New"/>
          <w:i/>
          <w:sz w:val="24"/>
          <w:szCs w:val="24"/>
        </w:rPr>
        <w:t>Communicative Action and Rational Choice</w:t>
      </w:r>
      <w:r w:rsidRPr="00F125E0">
        <w:rPr>
          <w:rFonts w:ascii="Book Antiqua" w:hAnsi="Book Antiqua" w:cs="Courier New"/>
          <w:sz w:val="24"/>
          <w:szCs w:val="24"/>
        </w:rPr>
        <w:t xml:space="preserve">. London: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MIT Press, 2001.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Holub, Robert C. </w:t>
      </w:r>
      <w:r w:rsidRPr="00F125E0">
        <w:rPr>
          <w:rFonts w:ascii="Book Antiqua" w:hAnsi="Book Antiqua" w:cs="Courier New"/>
          <w:i/>
          <w:sz w:val="24"/>
          <w:szCs w:val="24"/>
        </w:rPr>
        <w:t>Habermas: Critic in Public Sphere</w:t>
      </w:r>
      <w:r w:rsidRPr="00F125E0">
        <w:rPr>
          <w:rFonts w:ascii="Book Antiqua" w:hAnsi="Book Antiqua" w:cs="Courier New"/>
          <w:sz w:val="24"/>
          <w:szCs w:val="24"/>
        </w:rPr>
        <w:t xml:space="preserve">. London: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Routledge, 1991.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McAfree, Noelle.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Habermas, Kristeva and 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t xml:space="preserve">     Citizenship</w:t>
      </w:r>
      <w:r w:rsidRPr="00F125E0">
        <w:rPr>
          <w:rFonts w:ascii="Book Antiqua" w:hAnsi="Book Antiqua" w:cs="Courier New"/>
          <w:sz w:val="24"/>
          <w:szCs w:val="24"/>
        </w:rPr>
        <w:t>. Ithaca:Cornel University Press, 2000.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>Owen, David</w:t>
      </w:r>
      <w:r w:rsidRPr="00F125E0">
        <w:rPr>
          <w:rFonts w:ascii="Book Antiqua" w:hAnsi="Book Antiqua" w:cs="Courier New"/>
          <w:i/>
          <w:sz w:val="24"/>
          <w:szCs w:val="24"/>
        </w:rPr>
        <w:t>. Habermas and the Idea of Progress</w:t>
      </w:r>
      <w:r w:rsidRPr="00F125E0">
        <w:rPr>
          <w:rFonts w:ascii="Book Antiqua" w:hAnsi="Book Antiqua" w:cs="Courier New"/>
          <w:sz w:val="24"/>
          <w:szCs w:val="24"/>
        </w:rPr>
        <w:t xml:space="preserve">. NY: State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University Press, 2002.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Times New Roman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>Specter, Matthew G.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 Habermas: An Intellectual Biography</w:t>
      </w:r>
      <w:r w:rsidRPr="00F125E0">
        <w:rPr>
          <w:rFonts w:ascii="Book Antiqua" w:hAnsi="Book Antiqua" w:cs="Courier New"/>
          <w:sz w:val="24"/>
          <w:szCs w:val="24"/>
        </w:rPr>
        <w:t xml:space="preserve">. NY: CUP,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2010.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Article/s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i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Cooke, Maeve. Language and Reason: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A Study of Habermas’s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t xml:space="preserve">     Pragmatics</w:t>
      </w:r>
      <w:r w:rsidRPr="00F125E0">
        <w:rPr>
          <w:rFonts w:ascii="Book Antiqua" w:hAnsi="Book Antiqua" w:cs="Courier New"/>
          <w:sz w:val="24"/>
          <w:szCs w:val="24"/>
        </w:rPr>
        <w:t>. London: The MIT Press, 1994.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General Reference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i/>
          <w:sz w:val="24"/>
          <w:szCs w:val="24"/>
          <w:lang w:val="en-SG"/>
        </w:rPr>
      </w:pPr>
      <w:r w:rsidRPr="00F125E0">
        <w:rPr>
          <w:rFonts w:ascii="Book Antiqua" w:hAnsi="Book Antiqua" w:cs="Courier New"/>
          <w:sz w:val="24"/>
          <w:szCs w:val="24"/>
          <w:lang w:val="en-SG"/>
        </w:rPr>
        <w:t xml:space="preserve">Batoon, Emmanuel. </w:t>
      </w:r>
      <w:r w:rsidRPr="00F125E0">
        <w:rPr>
          <w:rFonts w:ascii="Book Antiqua" w:hAnsi="Book Antiqua" w:cs="Courier New"/>
          <w:i/>
          <w:sz w:val="24"/>
          <w:szCs w:val="24"/>
          <w:lang w:val="en-SG"/>
        </w:rPr>
        <w:t xml:space="preserve">A Guide to Thesis Writing in Philosophy.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  <w:lang w:val="en-SG"/>
        </w:rPr>
        <w:t xml:space="preserve">     </w:t>
      </w:r>
      <w:r w:rsidRPr="00F125E0">
        <w:rPr>
          <w:rFonts w:ascii="Book Antiqua" w:hAnsi="Book Antiqua" w:cs="Courier New"/>
          <w:sz w:val="24"/>
          <w:szCs w:val="24"/>
          <w:lang w:val="en-SG"/>
        </w:rPr>
        <w:t>Manila: REJN Publishing, 2005.</w:t>
      </w:r>
    </w:p>
    <w:p w:rsidR="002914CE" w:rsidRPr="00F125E0" w:rsidRDefault="002914CE" w:rsidP="002914CE">
      <w:pPr>
        <w:spacing w:after="0" w:line="480" w:lineRule="auto"/>
        <w:rPr>
          <w:rFonts w:ascii="Book Antiqua" w:hAnsi="Book Antiqua"/>
        </w:rPr>
      </w:pPr>
    </w:p>
    <w:p w:rsidR="002914CE" w:rsidRPr="00F125E0" w:rsidRDefault="002914CE" w:rsidP="002914CE">
      <w:pPr>
        <w:spacing w:after="0" w:line="48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914CE" w:rsidRPr="00F125E0" w:rsidRDefault="002914CE" w:rsidP="002914CE">
      <w:pPr>
        <w:spacing w:after="0" w:line="480" w:lineRule="auto"/>
        <w:jc w:val="both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F125E0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</w:t>
      </w:r>
    </w:p>
    <w:p w:rsidR="008C6F96" w:rsidRDefault="008C6F96"/>
    <w:sectPr w:rsidR="008C6F96" w:rsidSect="007F4393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7ED">
      <w:pPr>
        <w:spacing w:after="0" w:line="240" w:lineRule="auto"/>
      </w:pPr>
      <w:r>
        <w:separator/>
      </w:r>
    </w:p>
  </w:endnote>
  <w:endnote w:type="continuationSeparator" w:id="0">
    <w:p w:rsidR="00000000" w:rsidRDefault="00A9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823"/>
      <w:docPartObj>
        <w:docPartGallery w:val="Page Numbers (Bottom of Page)"/>
        <w:docPartUnique/>
      </w:docPartObj>
    </w:sdtPr>
    <w:sdtEndPr/>
    <w:sdtContent>
      <w:p w:rsidR="00336326" w:rsidRDefault="00A91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6326" w:rsidRDefault="00A91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17ED">
      <w:pPr>
        <w:spacing w:after="0" w:line="240" w:lineRule="auto"/>
      </w:pPr>
      <w:r>
        <w:separator/>
      </w:r>
    </w:p>
  </w:footnote>
  <w:footnote w:type="continuationSeparator" w:id="0">
    <w:p w:rsidR="00000000" w:rsidRDefault="00A9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CE"/>
    <w:rsid w:val="0000434D"/>
    <w:rsid w:val="00070946"/>
    <w:rsid w:val="000833C3"/>
    <w:rsid w:val="000C7BA2"/>
    <w:rsid w:val="00147C9E"/>
    <w:rsid w:val="0017432B"/>
    <w:rsid w:val="00184036"/>
    <w:rsid w:val="002914CE"/>
    <w:rsid w:val="002B7169"/>
    <w:rsid w:val="002C7125"/>
    <w:rsid w:val="002E5C37"/>
    <w:rsid w:val="00302C2D"/>
    <w:rsid w:val="00392462"/>
    <w:rsid w:val="003E1E94"/>
    <w:rsid w:val="00405A02"/>
    <w:rsid w:val="00461DC8"/>
    <w:rsid w:val="004B799D"/>
    <w:rsid w:val="004E1348"/>
    <w:rsid w:val="004E5F45"/>
    <w:rsid w:val="00503F25"/>
    <w:rsid w:val="00507B4A"/>
    <w:rsid w:val="00516EA7"/>
    <w:rsid w:val="00573F39"/>
    <w:rsid w:val="00607D69"/>
    <w:rsid w:val="00666590"/>
    <w:rsid w:val="007865AF"/>
    <w:rsid w:val="007C028F"/>
    <w:rsid w:val="007E093C"/>
    <w:rsid w:val="007F6E0D"/>
    <w:rsid w:val="00817D80"/>
    <w:rsid w:val="00824D89"/>
    <w:rsid w:val="008434B0"/>
    <w:rsid w:val="00850901"/>
    <w:rsid w:val="008C6F96"/>
    <w:rsid w:val="00A13687"/>
    <w:rsid w:val="00A22256"/>
    <w:rsid w:val="00A70E6F"/>
    <w:rsid w:val="00A917ED"/>
    <w:rsid w:val="00AA1DD2"/>
    <w:rsid w:val="00B412CE"/>
    <w:rsid w:val="00B63272"/>
    <w:rsid w:val="00BC2ABB"/>
    <w:rsid w:val="00C524EB"/>
    <w:rsid w:val="00CA6F48"/>
    <w:rsid w:val="00D41D30"/>
    <w:rsid w:val="00D72C9F"/>
    <w:rsid w:val="00DF64C1"/>
    <w:rsid w:val="00E15AC0"/>
    <w:rsid w:val="00E22A95"/>
    <w:rsid w:val="00E52ADD"/>
    <w:rsid w:val="00E66B66"/>
    <w:rsid w:val="00E96058"/>
    <w:rsid w:val="00E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1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4C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CE"/>
  </w:style>
  <w:style w:type="paragraph" w:styleId="Footer">
    <w:name w:val="footer"/>
    <w:basedOn w:val="Normal"/>
    <w:link w:val="FooterChar"/>
    <w:uiPriority w:val="99"/>
    <w:unhideWhenUsed/>
    <w:rsid w:val="002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52F2-C545-4C7C-81E7-D2D8E58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225</Words>
  <Characters>1453</Characters>
  <Application>Microsoft Office Word</Application>
  <DocSecurity>4</DocSecurity>
  <Lines>53</Lines>
  <Paragraphs>37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2018-02-21T13:48:00Z</dcterms:created>
  <dcterms:modified xsi:type="dcterms:W3CDTF">2018-02-21T13:48:00Z</dcterms:modified>
</cp:coreProperties>
</file>