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3EDF" w:rsidRDefault="004147F7" w:rsidP="00F53EDF">
      <w:pPr>
        <w:rPr>
          <w:sz w:val="24"/>
          <w:szCs w:val="24"/>
        </w:rPr>
      </w:pPr>
      <w:bookmarkStart w:id="0" w:name="_GoBack"/>
      <w:bookmarkEnd w:id="0"/>
      <w:r w:rsidRPr="004147F7">
        <w:rPr>
          <w:sz w:val="24"/>
          <w:szCs w:val="24"/>
        </w:rPr>
        <w:t>Students will create either</w:t>
      </w:r>
      <w:r w:rsidRPr="004147F7">
        <w:rPr>
          <w:sz w:val="24"/>
          <w:szCs w:val="24"/>
        </w:rPr>
        <w:t xml:space="preserve"> a brochure or an infographic</w:t>
      </w:r>
      <w:r w:rsidRPr="004147F7">
        <w:rPr>
          <w:sz w:val="24"/>
          <w:szCs w:val="24"/>
        </w:rPr>
        <w:t xml:space="preserve"> (NOT </w:t>
      </w:r>
      <w:r w:rsidRPr="004147F7">
        <w:rPr>
          <w:sz w:val="24"/>
          <w:szCs w:val="24"/>
        </w:rPr>
        <w:t>both</w:t>
      </w:r>
      <w:r w:rsidRPr="004147F7">
        <w:rPr>
          <w:sz w:val="24"/>
          <w:szCs w:val="24"/>
        </w:rPr>
        <w:t>) about their chos</w:t>
      </w:r>
      <w:r>
        <w:rPr>
          <w:sz w:val="24"/>
          <w:szCs w:val="24"/>
        </w:rPr>
        <w:t>en community problem. See p. 156</w:t>
      </w:r>
      <w:r w:rsidR="00665661">
        <w:rPr>
          <w:sz w:val="24"/>
          <w:szCs w:val="24"/>
        </w:rPr>
        <w:t>-164</w:t>
      </w:r>
      <w:r w:rsidRPr="004147F7">
        <w:rPr>
          <w:sz w:val="24"/>
          <w:szCs w:val="24"/>
        </w:rPr>
        <w:t xml:space="preserve"> of The Handbook for specific guidelines. Students will include a short reflection with the</w:t>
      </w:r>
      <w:r w:rsidRPr="004147F7">
        <w:rPr>
          <w:sz w:val="24"/>
          <w:szCs w:val="24"/>
        </w:rPr>
        <w:t xml:space="preserve">ir visual argument. Please </w:t>
      </w:r>
      <w:r w:rsidR="007B31BB">
        <w:rPr>
          <w:sz w:val="24"/>
          <w:szCs w:val="24"/>
        </w:rPr>
        <w:t>last page</w:t>
      </w:r>
      <w:r w:rsidRPr="004147F7">
        <w:rPr>
          <w:sz w:val="24"/>
          <w:szCs w:val="24"/>
        </w:rPr>
        <w:t xml:space="preserve"> for more detailed guidelines for the reflection.</w:t>
      </w:r>
    </w:p>
    <w:p w:rsidR="00F53EDF" w:rsidRPr="00F53EDF" w:rsidRDefault="00F53EDF" w:rsidP="00F53EDF">
      <w:pPr>
        <w:rPr>
          <w:b/>
          <w:bCs/>
          <w:sz w:val="24"/>
          <w:szCs w:val="24"/>
          <w:u w:val="single"/>
        </w:rPr>
      </w:pPr>
      <w:r w:rsidRPr="00F53EDF">
        <w:rPr>
          <w:b/>
          <w:bCs/>
          <w:sz w:val="24"/>
          <w:szCs w:val="24"/>
          <w:u w:val="single"/>
        </w:rPr>
        <w:t>Mini-lecture: The Visual Argument</w:t>
      </w:r>
    </w:p>
    <w:p w:rsidR="00F53EDF" w:rsidRPr="00F53EDF" w:rsidRDefault="00F53EDF" w:rsidP="00F53EDF">
      <w:pPr>
        <w:shd w:val="clear" w:color="auto" w:fill="FFFFFF"/>
        <w:spacing w:after="0" w:line="240" w:lineRule="auto"/>
        <w:rPr>
          <w:rFonts w:ascii="inherit" w:eastAsia="Times New Roman" w:hAnsi="inherit" w:cs="Times New Roman"/>
          <w:color w:val="002147"/>
          <w:sz w:val="20"/>
          <w:szCs w:val="20"/>
        </w:rPr>
      </w:pPr>
      <w:r w:rsidRPr="00F53EDF">
        <w:rPr>
          <w:rFonts w:ascii="Helvetica" w:eastAsia="Times New Roman" w:hAnsi="Helvetica" w:cs="Helvetica"/>
          <w:color w:val="000000"/>
          <w:sz w:val="24"/>
          <w:szCs w:val="24"/>
          <w:bdr w:val="none" w:sz="0" w:space="0" w:color="auto" w:frame="1"/>
        </w:rPr>
        <w:t>In this assignment, you will advocate for policy change based on your Community Problem Report. You will argue for policy change using ethos, pathos, and logos. You will select a genre for your visual argument that suits the community you are composing to. Your choices are:</w:t>
      </w:r>
    </w:p>
    <w:p w:rsidR="00F53EDF" w:rsidRPr="00F53EDF" w:rsidRDefault="00F53EDF" w:rsidP="00F53EDF">
      <w:pPr>
        <w:numPr>
          <w:ilvl w:val="0"/>
          <w:numId w:val="2"/>
        </w:numPr>
        <w:spacing w:after="0" w:line="240" w:lineRule="auto"/>
        <w:ind w:left="0"/>
        <w:textAlignment w:val="baseline"/>
        <w:rPr>
          <w:rFonts w:ascii="inherit" w:eastAsia="Times New Roman" w:hAnsi="inherit" w:cs="Times New Roman"/>
          <w:color w:val="000000"/>
        </w:rPr>
      </w:pPr>
      <w:r w:rsidRPr="00F53EDF">
        <w:rPr>
          <w:rFonts w:ascii="Helvetica" w:eastAsia="Times New Roman" w:hAnsi="Helvetica" w:cs="Helvetica"/>
          <w:color w:val="000000"/>
          <w:sz w:val="24"/>
          <w:szCs w:val="24"/>
          <w:bdr w:val="none" w:sz="0" w:space="0" w:color="auto" w:frame="1"/>
        </w:rPr>
        <w:t>A Brochure: There are brochure templates in Microsoft Word and Pages, but that doesn’t mean that it’s an easy assignment.</w:t>
      </w:r>
    </w:p>
    <w:p w:rsidR="00F53EDF" w:rsidRPr="00F53EDF" w:rsidRDefault="00F53EDF" w:rsidP="00F53EDF">
      <w:pPr>
        <w:numPr>
          <w:ilvl w:val="0"/>
          <w:numId w:val="2"/>
        </w:numPr>
        <w:spacing w:after="0" w:line="240" w:lineRule="auto"/>
        <w:ind w:left="0"/>
        <w:textAlignment w:val="baseline"/>
        <w:rPr>
          <w:rFonts w:ascii="inherit" w:eastAsia="Times New Roman" w:hAnsi="inherit" w:cs="Times New Roman"/>
          <w:color w:val="000000"/>
        </w:rPr>
      </w:pPr>
      <w:r w:rsidRPr="00F53EDF">
        <w:rPr>
          <w:rFonts w:ascii="Helvetica" w:eastAsia="Times New Roman" w:hAnsi="Helvetica" w:cs="Helvetica"/>
          <w:color w:val="000000"/>
          <w:sz w:val="24"/>
          <w:szCs w:val="24"/>
          <w:bdr w:val="none" w:sz="0" w:space="0" w:color="auto" w:frame="1"/>
        </w:rPr>
        <w:t>An Infographic: A collection of images and data. You can google Infographic to see examples.</w:t>
      </w:r>
    </w:p>
    <w:p w:rsidR="00F53EDF" w:rsidRDefault="00F53EDF" w:rsidP="004147F7">
      <w:pPr>
        <w:rPr>
          <w:sz w:val="24"/>
          <w:szCs w:val="24"/>
        </w:rPr>
      </w:pPr>
    </w:p>
    <w:p w:rsidR="00665661" w:rsidRPr="007B7615" w:rsidRDefault="007B7615" w:rsidP="004147F7">
      <w:pPr>
        <w:rPr>
          <w:color w:val="FF0000"/>
          <w:sz w:val="24"/>
          <w:szCs w:val="24"/>
        </w:rPr>
      </w:pPr>
      <w:r w:rsidRPr="007B7615">
        <w:rPr>
          <w:color w:val="FF0000"/>
          <w:sz w:val="24"/>
          <w:szCs w:val="24"/>
        </w:rPr>
        <w:t>Choose</w:t>
      </w:r>
      <w:r>
        <w:rPr>
          <w:color w:val="FF0000"/>
          <w:sz w:val="24"/>
          <w:szCs w:val="24"/>
        </w:rPr>
        <w:t xml:space="preserve"> from</w:t>
      </w:r>
      <w:r w:rsidRPr="007B7615">
        <w:rPr>
          <w:color w:val="FF0000"/>
          <w:sz w:val="24"/>
          <w:szCs w:val="24"/>
        </w:rPr>
        <w:t xml:space="preserve"> one of the following style of argument to use for the Visual Argument.</w:t>
      </w:r>
    </w:p>
    <w:p w:rsidR="00665661" w:rsidRPr="00665661" w:rsidRDefault="00665661" w:rsidP="004147F7">
      <w:pPr>
        <w:rPr>
          <w:b/>
          <w:sz w:val="28"/>
          <w:szCs w:val="28"/>
          <w:u w:val="single"/>
        </w:rPr>
      </w:pPr>
      <w:r w:rsidRPr="00665661">
        <w:rPr>
          <w:b/>
          <w:sz w:val="28"/>
          <w:szCs w:val="28"/>
          <w:u w:val="single"/>
        </w:rPr>
        <w:t>Mini-Lecture: Aristotelean Arguments</w:t>
      </w:r>
    </w:p>
    <w:p w:rsidR="00665661" w:rsidRPr="00665661" w:rsidRDefault="00665661" w:rsidP="00665661">
      <w:pPr>
        <w:spacing w:after="0" w:line="240" w:lineRule="auto"/>
        <w:ind w:left="-465" w:right="-465"/>
        <w:rPr>
          <w:rFonts w:ascii="inherit" w:eastAsia="Times New Roman" w:hAnsi="inherit" w:cs="Helvetica"/>
          <w:sz w:val="24"/>
          <w:szCs w:val="24"/>
        </w:rPr>
      </w:pPr>
      <w:r w:rsidRPr="00665661">
        <w:rPr>
          <w:rFonts w:ascii="Helvetica" w:eastAsia="Times New Roman" w:hAnsi="Helvetica" w:cs="Helvetica"/>
          <w:sz w:val="24"/>
          <w:szCs w:val="24"/>
          <w:bdr w:val="none" w:sz="0" w:space="0" w:color="auto" w:frame="1"/>
        </w:rPr>
        <w:t>There are many different ways of creating arguments; in this class, we're going to go over two of them. The first is Aristotelian Arguments.</w:t>
      </w:r>
    </w:p>
    <w:p w:rsidR="00665661" w:rsidRPr="00665661" w:rsidRDefault="00665661" w:rsidP="00665661">
      <w:pPr>
        <w:spacing w:after="0" w:line="240" w:lineRule="auto"/>
        <w:ind w:left="-465" w:right="-465"/>
        <w:rPr>
          <w:rFonts w:ascii="inherit" w:eastAsia="Times New Roman" w:hAnsi="inherit" w:cs="Helvetica"/>
          <w:sz w:val="24"/>
          <w:szCs w:val="24"/>
        </w:rPr>
      </w:pPr>
      <w:r w:rsidRPr="00665661">
        <w:rPr>
          <w:rFonts w:ascii="Helvetica" w:eastAsia="Times New Roman" w:hAnsi="Helvetica" w:cs="Helvetica"/>
          <w:sz w:val="24"/>
          <w:szCs w:val="24"/>
          <w:bdr w:val="none" w:sz="0" w:space="0" w:color="auto" w:frame="1"/>
        </w:rPr>
        <w:t>Aristotelian arguments are a “traditional” form of arguing--this is probably what you were taught in high school. You seek to validate your own position. Typically, you refute another person’s argument or create a “strawman” to attack. This style of argument follows this format:</w:t>
      </w:r>
    </w:p>
    <w:p w:rsidR="00665661" w:rsidRPr="00665661" w:rsidRDefault="00665661" w:rsidP="00665661">
      <w:pPr>
        <w:numPr>
          <w:ilvl w:val="1"/>
          <w:numId w:val="1"/>
        </w:numPr>
        <w:spacing w:after="0" w:line="240" w:lineRule="auto"/>
        <w:ind w:left="-465" w:right="-465"/>
        <w:rPr>
          <w:rFonts w:ascii="inherit" w:eastAsia="Times New Roman" w:hAnsi="inherit" w:cs="Helvetica"/>
          <w:sz w:val="24"/>
          <w:szCs w:val="24"/>
        </w:rPr>
      </w:pPr>
      <w:r w:rsidRPr="00665661">
        <w:rPr>
          <w:rFonts w:ascii="Helvetica" w:eastAsia="Times New Roman" w:hAnsi="Helvetica" w:cs="Helvetica"/>
          <w:sz w:val="24"/>
          <w:szCs w:val="24"/>
          <w:bdr w:val="none" w:sz="0" w:space="0" w:color="auto" w:frame="1"/>
        </w:rPr>
        <w:t>Context/background (what is the debate; how did it start; why has it not been resolved; etc.)</w:t>
      </w:r>
    </w:p>
    <w:p w:rsidR="00665661" w:rsidRPr="00665661" w:rsidRDefault="00665661" w:rsidP="00665661">
      <w:pPr>
        <w:numPr>
          <w:ilvl w:val="1"/>
          <w:numId w:val="1"/>
        </w:numPr>
        <w:spacing w:after="0" w:line="240" w:lineRule="auto"/>
        <w:ind w:left="-465" w:right="-465"/>
        <w:rPr>
          <w:rFonts w:ascii="inherit" w:eastAsia="Times New Roman" w:hAnsi="inherit" w:cs="Helvetica"/>
          <w:sz w:val="24"/>
          <w:szCs w:val="24"/>
        </w:rPr>
      </w:pPr>
      <w:r w:rsidRPr="00665661">
        <w:rPr>
          <w:rFonts w:ascii="Helvetica" w:eastAsia="Times New Roman" w:hAnsi="Helvetica" w:cs="Helvetica"/>
          <w:sz w:val="24"/>
          <w:szCs w:val="24"/>
          <w:bdr w:val="none" w:sz="0" w:space="0" w:color="auto" w:frame="1"/>
        </w:rPr>
        <w:t>thesis (what belief should your audience adopt; what set of actions should they perform)</w:t>
      </w:r>
    </w:p>
    <w:p w:rsidR="00665661" w:rsidRPr="00665661" w:rsidRDefault="00665661" w:rsidP="00665661">
      <w:pPr>
        <w:numPr>
          <w:ilvl w:val="1"/>
          <w:numId w:val="1"/>
        </w:numPr>
        <w:spacing w:after="0" w:line="240" w:lineRule="auto"/>
        <w:ind w:left="-465" w:right="-465"/>
        <w:rPr>
          <w:rFonts w:ascii="inherit" w:eastAsia="Times New Roman" w:hAnsi="inherit" w:cs="Helvetica"/>
          <w:sz w:val="24"/>
          <w:szCs w:val="24"/>
        </w:rPr>
      </w:pPr>
      <w:r w:rsidRPr="00665661">
        <w:rPr>
          <w:rFonts w:ascii="Helvetica" w:eastAsia="Times New Roman" w:hAnsi="Helvetica" w:cs="Helvetica"/>
          <w:sz w:val="24"/>
          <w:szCs w:val="24"/>
          <w:bdr w:val="none" w:sz="0" w:space="0" w:color="auto" w:frame="1"/>
        </w:rPr>
        <w:t>support of thesis (major reasons and corresponding evidence for why your thesis is valid)</w:t>
      </w:r>
    </w:p>
    <w:p w:rsidR="00665661" w:rsidRPr="00665661" w:rsidRDefault="00665661" w:rsidP="00665661">
      <w:pPr>
        <w:numPr>
          <w:ilvl w:val="1"/>
          <w:numId w:val="1"/>
        </w:numPr>
        <w:spacing w:after="0" w:line="240" w:lineRule="auto"/>
        <w:ind w:left="-465" w:right="-465"/>
        <w:rPr>
          <w:rFonts w:ascii="inherit" w:eastAsia="Times New Roman" w:hAnsi="inherit" w:cs="Helvetica"/>
          <w:sz w:val="24"/>
          <w:szCs w:val="24"/>
        </w:rPr>
      </w:pPr>
      <w:r w:rsidRPr="00665661">
        <w:rPr>
          <w:rFonts w:ascii="Helvetica" w:eastAsia="Times New Roman" w:hAnsi="Helvetica" w:cs="Helvetica"/>
          <w:sz w:val="24"/>
          <w:szCs w:val="24"/>
          <w:bdr w:val="none" w:sz="0" w:space="0" w:color="auto" w:frame="1"/>
        </w:rPr>
        <w:t>concession (in what ways MIGHT your opponent be correct)</w:t>
      </w:r>
    </w:p>
    <w:p w:rsidR="00665661" w:rsidRPr="00665661" w:rsidRDefault="00665661" w:rsidP="00665661">
      <w:pPr>
        <w:numPr>
          <w:ilvl w:val="1"/>
          <w:numId w:val="1"/>
        </w:numPr>
        <w:spacing w:after="0" w:line="240" w:lineRule="auto"/>
        <w:ind w:left="-465" w:right="-465"/>
        <w:rPr>
          <w:rFonts w:ascii="inherit" w:eastAsia="Times New Roman" w:hAnsi="inherit" w:cs="Helvetica"/>
          <w:sz w:val="24"/>
          <w:szCs w:val="24"/>
        </w:rPr>
      </w:pPr>
      <w:r w:rsidRPr="00665661">
        <w:rPr>
          <w:rFonts w:ascii="Helvetica" w:eastAsia="Times New Roman" w:hAnsi="Helvetica" w:cs="Helvetica"/>
          <w:sz w:val="24"/>
          <w:szCs w:val="24"/>
          <w:bdr w:val="none" w:sz="0" w:space="0" w:color="auto" w:frame="1"/>
        </w:rPr>
        <w:t>refute opposition (in what major ways is your opponent incorrect)</w:t>
      </w:r>
    </w:p>
    <w:p w:rsidR="00665661" w:rsidRPr="00665661" w:rsidRDefault="00665661" w:rsidP="00665661">
      <w:pPr>
        <w:numPr>
          <w:ilvl w:val="1"/>
          <w:numId w:val="1"/>
        </w:numPr>
        <w:spacing w:after="0" w:line="240" w:lineRule="auto"/>
        <w:ind w:left="-465" w:right="-465"/>
        <w:rPr>
          <w:rFonts w:ascii="inherit" w:eastAsia="Times New Roman" w:hAnsi="inherit" w:cs="Helvetica"/>
          <w:sz w:val="24"/>
          <w:szCs w:val="24"/>
        </w:rPr>
      </w:pPr>
      <w:r w:rsidRPr="00665661">
        <w:rPr>
          <w:rFonts w:ascii="Helvetica" w:eastAsia="Times New Roman" w:hAnsi="Helvetica" w:cs="Helvetica"/>
          <w:sz w:val="24"/>
          <w:szCs w:val="24"/>
          <w:bdr w:val="none" w:sz="0" w:space="0" w:color="auto" w:frame="1"/>
        </w:rPr>
        <w:t>conclusion (relevance or course of action)</w:t>
      </w:r>
    </w:p>
    <w:p w:rsidR="00665661" w:rsidRPr="00665661" w:rsidRDefault="00665661" w:rsidP="00665661">
      <w:pPr>
        <w:spacing w:after="0" w:line="240" w:lineRule="auto"/>
        <w:ind w:left="-465" w:right="-465"/>
        <w:rPr>
          <w:rFonts w:ascii="inherit" w:eastAsia="Times New Roman" w:hAnsi="inherit" w:cs="Helvetica"/>
          <w:sz w:val="24"/>
          <w:szCs w:val="24"/>
        </w:rPr>
      </w:pPr>
      <w:r w:rsidRPr="00665661">
        <w:rPr>
          <w:rFonts w:ascii="Helvetica" w:eastAsia="Times New Roman" w:hAnsi="Helvetica" w:cs="Helvetica"/>
          <w:sz w:val="24"/>
          <w:szCs w:val="24"/>
          <w:bdr w:val="none" w:sz="0" w:space="0" w:color="auto" w:frame="1"/>
        </w:rPr>
        <w:t>This is one style you can use in your Visual Argument.</w:t>
      </w:r>
    </w:p>
    <w:p w:rsidR="00665661" w:rsidRPr="00665661" w:rsidRDefault="00665661" w:rsidP="00665661">
      <w:pPr>
        <w:spacing w:after="0" w:line="240" w:lineRule="auto"/>
        <w:ind w:left="-465" w:right="-465"/>
        <w:rPr>
          <w:rFonts w:ascii="inherit" w:eastAsia="Times New Roman" w:hAnsi="inherit" w:cs="Helvetica"/>
          <w:sz w:val="24"/>
          <w:szCs w:val="24"/>
        </w:rPr>
      </w:pPr>
    </w:p>
    <w:p w:rsidR="00665661" w:rsidRDefault="00665661" w:rsidP="00665661">
      <w:pPr>
        <w:spacing w:after="0" w:line="240" w:lineRule="auto"/>
        <w:ind w:left="-465" w:right="-465"/>
        <w:rPr>
          <w:rFonts w:ascii="inherit" w:eastAsia="Times New Roman" w:hAnsi="inherit" w:cs="Helvetica"/>
          <w:b/>
          <w:bCs/>
          <w:sz w:val="28"/>
          <w:szCs w:val="28"/>
          <w:bdr w:val="none" w:sz="0" w:space="0" w:color="auto" w:frame="1"/>
        </w:rPr>
      </w:pPr>
    </w:p>
    <w:p w:rsidR="00665661" w:rsidRPr="00665661" w:rsidRDefault="00665661" w:rsidP="00665661">
      <w:pPr>
        <w:spacing w:after="0" w:line="240" w:lineRule="auto"/>
        <w:ind w:left="-465" w:right="-465"/>
        <w:rPr>
          <w:rFonts w:ascii="inherit" w:eastAsia="Times New Roman" w:hAnsi="inherit" w:cs="Helvetica"/>
          <w:b/>
          <w:bCs/>
          <w:sz w:val="28"/>
          <w:szCs w:val="28"/>
          <w:u w:val="single"/>
          <w:bdr w:val="none" w:sz="0" w:space="0" w:color="auto" w:frame="1"/>
        </w:rPr>
      </w:pPr>
      <w:r w:rsidRPr="00665661">
        <w:rPr>
          <w:rFonts w:ascii="inherit" w:eastAsia="Times New Roman" w:hAnsi="inherit" w:cs="Helvetica"/>
          <w:b/>
          <w:bCs/>
          <w:sz w:val="28"/>
          <w:szCs w:val="28"/>
          <w:u w:val="single"/>
          <w:bdr w:val="none" w:sz="0" w:space="0" w:color="auto" w:frame="1"/>
        </w:rPr>
        <w:t>Mini-Lecture: Rogerian Arguments</w:t>
      </w:r>
    </w:p>
    <w:p w:rsidR="00665661" w:rsidRDefault="00665661" w:rsidP="00665661">
      <w:pPr>
        <w:spacing w:after="0" w:line="240" w:lineRule="auto"/>
        <w:ind w:left="-465" w:right="-465"/>
        <w:rPr>
          <w:rFonts w:ascii="inherit" w:eastAsia="Times New Roman" w:hAnsi="inherit" w:cs="Helvetica"/>
          <w:b/>
          <w:bCs/>
          <w:sz w:val="28"/>
          <w:szCs w:val="28"/>
          <w:bdr w:val="none" w:sz="0" w:space="0" w:color="auto" w:frame="1"/>
        </w:rPr>
      </w:pPr>
    </w:p>
    <w:p w:rsidR="00665661" w:rsidRPr="00665661" w:rsidRDefault="00665661" w:rsidP="00665661">
      <w:pPr>
        <w:spacing w:after="0" w:line="240" w:lineRule="auto"/>
        <w:ind w:left="-465" w:right="-465"/>
        <w:rPr>
          <w:rFonts w:ascii="inherit" w:eastAsia="Times New Roman" w:hAnsi="inherit" w:cs="Helvetica"/>
          <w:sz w:val="24"/>
          <w:szCs w:val="24"/>
        </w:rPr>
      </w:pPr>
      <w:r w:rsidRPr="00665661">
        <w:rPr>
          <w:rFonts w:ascii="Helvetica" w:eastAsia="Times New Roman" w:hAnsi="Helvetica" w:cs="Helvetica"/>
          <w:sz w:val="24"/>
          <w:szCs w:val="24"/>
          <w:bdr w:val="none" w:sz="0" w:space="0" w:color="auto" w:frame="1"/>
        </w:rPr>
        <w:t>A less common style of argument is Rogerian Arguments. Rogerian arguments focus on consensus building. Typically, you validate your opponent’s position and argue for a compromise that will benefit both you and your opponent. </w:t>
      </w:r>
      <w:r w:rsidRPr="00665661">
        <w:rPr>
          <w:rFonts w:ascii="inherit" w:eastAsia="Times New Roman" w:hAnsi="inherit" w:cs="Helvetica"/>
          <w:sz w:val="24"/>
          <w:szCs w:val="24"/>
        </w:rPr>
        <w:br/>
      </w:r>
      <w:r w:rsidRPr="00665661">
        <w:rPr>
          <w:rFonts w:ascii="Helvetica" w:eastAsia="Times New Roman" w:hAnsi="Helvetica" w:cs="Helvetica"/>
          <w:sz w:val="24"/>
          <w:szCs w:val="24"/>
          <w:bdr w:val="none" w:sz="0" w:space="0" w:color="auto" w:frame="1"/>
        </w:rPr>
        <w:t>Usually, you follow a method like this for Rogerian Arguments:</w:t>
      </w:r>
    </w:p>
    <w:p w:rsidR="00665661" w:rsidRPr="00665661" w:rsidRDefault="00665661" w:rsidP="00665661">
      <w:pPr>
        <w:numPr>
          <w:ilvl w:val="1"/>
          <w:numId w:val="1"/>
        </w:numPr>
        <w:spacing w:after="0" w:line="240" w:lineRule="auto"/>
        <w:ind w:left="-465" w:right="-465"/>
        <w:rPr>
          <w:rFonts w:ascii="inherit" w:eastAsia="Times New Roman" w:hAnsi="inherit" w:cs="Helvetica"/>
          <w:sz w:val="24"/>
          <w:szCs w:val="24"/>
        </w:rPr>
      </w:pPr>
      <w:r w:rsidRPr="00665661">
        <w:rPr>
          <w:rFonts w:ascii="Helvetica" w:eastAsia="Times New Roman" w:hAnsi="Helvetica" w:cs="Helvetica"/>
          <w:sz w:val="24"/>
          <w:szCs w:val="24"/>
          <w:bdr w:val="none" w:sz="0" w:space="0" w:color="auto" w:frame="1"/>
        </w:rPr>
        <w:t>Validate your opponent's position: what is your opponent’s perspective and how is it understandable?</w:t>
      </w:r>
    </w:p>
    <w:p w:rsidR="00665661" w:rsidRPr="00665661" w:rsidRDefault="00665661" w:rsidP="00665661">
      <w:pPr>
        <w:numPr>
          <w:ilvl w:val="1"/>
          <w:numId w:val="1"/>
        </w:numPr>
        <w:spacing w:after="0" w:line="240" w:lineRule="auto"/>
        <w:ind w:left="-465" w:right="-465"/>
        <w:rPr>
          <w:rFonts w:ascii="inherit" w:eastAsia="Times New Roman" w:hAnsi="inherit" w:cs="Helvetica"/>
          <w:sz w:val="24"/>
          <w:szCs w:val="24"/>
        </w:rPr>
      </w:pPr>
      <w:r w:rsidRPr="00665661">
        <w:rPr>
          <w:rFonts w:ascii="Helvetica" w:eastAsia="Times New Roman" w:hAnsi="Helvetica" w:cs="Helvetica"/>
          <w:sz w:val="24"/>
          <w:szCs w:val="24"/>
          <w:bdr w:val="none" w:sz="0" w:space="0" w:color="auto" w:frame="1"/>
        </w:rPr>
        <w:t>State your own position: What is your position and how is it similar to your opponent’s?</w:t>
      </w:r>
    </w:p>
    <w:p w:rsidR="00665661" w:rsidRPr="00665661" w:rsidRDefault="00665661" w:rsidP="00665661">
      <w:pPr>
        <w:numPr>
          <w:ilvl w:val="1"/>
          <w:numId w:val="1"/>
        </w:numPr>
        <w:spacing w:after="0" w:line="240" w:lineRule="auto"/>
        <w:ind w:left="-465" w:right="-465"/>
        <w:rPr>
          <w:rFonts w:ascii="inherit" w:eastAsia="Times New Roman" w:hAnsi="inherit" w:cs="Helvetica"/>
          <w:sz w:val="24"/>
          <w:szCs w:val="24"/>
        </w:rPr>
      </w:pPr>
      <w:r w:rsidRPr="00665661">
        <w:rPr>
          <w:rFonts w:ascii="Helvetica" w:eastAsia="Times New Roman" w:hAnsi="Helvetica" w:cs="Helvetica"/>
          <w:sz w:val="24"/>
          <w:szCs w:val="24"/>
          <w:bdr w:val="none" w:sz="0" w:space="0" w:color="auto" w:frame="1"/>
        </w:rPr>
        <w:t>Suggest compromise: what outcome would be ideal for all parties?</w:t>
      </w:r>
    </w:p>
    <w:p w:rsidR="00665661" w:rsidRPr="00665661" w:rsidRDefault="00665661" w:rsidP="00665661">
      <w:pPr>
        <w:spacing w:after="0" w:line="240" w:lineRule="auto"/>
        <w:ind w:left="-465" w:right="-465"/>
        <w:rPr>
          <w:rFonts w:ascii="inherit" w:eastAsia="Times New Roman" w:hAnsi="inherit" w:cs="Helvetica"/>
          <w:sz w:val="24"/>
          <w:szCs w:val="24"/>
        </w:rPr>
      </w:pPr>
      <w:r w:rsidRPr="00665661">
        <w:rPr>
          <w:rFonts w:ascii="Helvetica" w:eastAsia="Times New Roman" w:hAnsi="Helvetica" w:cs="Helvetica"/>
          <w:sz w:val="24"/>
          <w:szCs w:val="24"/>
          <w:bdr w:val="none" w:sz="0" w:space="0" w:color="auto" w:frame="1"/>
        </w:rPr>
        <w:t>This is another model that may work for your Visual Argument. </w:t>
      </w:r>
    </w:p>
    <w:p w:rsidR="004147F7" w:rsidRPr="004147F7" w:rsidRDefault="004147F7" w:rsidP="004147F7">
      <w:pPr>
        <w:rPr>
          <w:sz w:val="24"/>
          <w:szCs w:val="24"/>
        </w:rPr>
      </w:pPr>
    </w:p>
    <w:p w:rsidR="008C2C92" w:rsidRDefault="004147F7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12B4D01" wp14:editId="3E559274">
            <wp:extent cx="5943600" cy="14878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7F7" w:rsidRDefault="004147F7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FE5DF7A" wp14:editId="0B784BF3">
            <wp:extent cx="5943600" cy="5024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2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7F7" w:rsidRDefault="004147F7">
      <w:pPr>
        <w:rPr>
          <w:sz w:val="24"/>
          <w:szCs w:val="24"/>
        </w:rPr>
      </w:pPr>
      <w:r>
        <w:rPr>
          <w:sz w:val="24"/>
          <w:szCs w:val="24"/>
        </w:rPr>
        <w:t xml:space="preserve">Helpful Link: </w:t>
      </w:r>
      <w:hyperlink r:id="rId7" w:history="1">
        <w:r w:rsidRPr="0072245C">
          <w:rPr>
            <w:rStyle w:val="Hyperlink"/>
            <w:sz w:val="24"/>
            <w:szCs w:val="24"/>
          </w:rPr>
          <w:t>https://multimodalstudies.wordpress.com/what-is-multimodal-literacy/</w:t>
        </w:r>
      </w:hyperlink>
    </w:p>
    <w:p w:rsidR="004147F7" w:rsidRDefault="004147F7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7AAE17F" wp14:editId="0BE4DD7B">
            <wp:extent cx="5943600" cy="1944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7F7" w:rsidRDefault="004147F7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1E6F4D3" wp14:editId="74F5E067">
            <wp:extent cx="5943600" cy="276669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57F" w:rsidRDefault="00AE257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81ADE86" wp14:editId="2F9A601A">
            <wp:extent cx="5943600" cy="29178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57F" w:rsidRDefault="00AE257F">
      <w:pPr>
        <w:rPr>
          <w:color w:val="FF0000"/>
          <w:sz w:val="24"/>
          <w:szCs w:val="24"/>
        </w:rPr>
      </w:pPr>
      <w:r w:rsidRPr="00AE257F">
        <w:rPr>
          <w:color w:val="FF0000"/>
          <w:sz w:val="24"/>
          <w:szCs w:val="24"/>
        </w:rPr>
        <w:t>Please ignore the Public Service Announcement (PSA)</w:t>
      </w:r>
      <w:r>
        <w:rPr>
          <w:color w:val="FF0000"/>
          <w:sz w:val="24"/>
          <w:szCs w:val="24"/>
        </w:rPr>
        <w:t>: Choose either Option 1 or 2 please.</w:t>
      </w:r>
    </w:p>
    <w:p w:rsidR="00AE257F" w:rsidRDefault="00AE257F">
      <w:pPr>
        <w:rPr>
          <w:color w:val="FF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0639F3E" wp14:editId="7F1FEEC5">
            <wp:extent cx="5943600" cy="41376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3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57F" w:rsidRDefault="00AE257F">
      <w:pPr>
        <w:rPr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6E83D636" wp14:editId="15E27AA9">
            <wp:extent cx="5943600" cy="367030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57F" w:rsidRDefault="00AE257F">
      <w:pPr>
        <w:rPr>
          <w:color w:val="FF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61AF1A3" wp14:editId="780FCBDD">
            <wp:extent cx="5943600" cy="43643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57F" w:rsidRDefault="00AE257F">
      <w:pPr>
        <w:rPr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7D69DAF6" wp14:editId="5C8363F2">
            <wp:extent cx="5264931" cy="366576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01393" cy="3691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57F" w:rsidRDefault="00AE257F">
      <w:pPr>
        <w:rPr>
          <w:color w:val="FF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CC5F0CA" wp14:editId="6DBDFB6F">
            <wp:extent cx="5943600" cy="3923665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57F" w:rsidRDefault="00AE257F">
      <w:pPr>
        <w:rPr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67BF21A9" wp14:editId="06C93E39">
            <wp:extent cx="5347465" cy="3935186"/>
            <wp:effectExtent l="0" t="0" r="5715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56987" cy="394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57F" w:rsidRDefault="00AE257F">
      <w:pPr>
        <w:rPr>
          <w:color w:val="FF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013F562" wp14:editId="35F4FBE7">
            <wp:extent cx="5943600" cy="4277360"/>
            <wp:effectExtent l="0" t="0" r="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57F" w:rsidRDefault="006852DE">
      <w:pPr>
        <w:rPr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3EA7CFFE" wp14:editId="54E182E6">
            <wp:extent cx="6089734" cy="3526971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6406" cy="3542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57F" w:rsidRDefault="00AE257F">
      <w:pPr>
        <w:rPr>
          <w:color w:val="FF0000"/>
          <w:sz w:val="24"/>
          <w:szCs w:val="24"/>
        </w:rPr>
      </w:pPr>
    </w:p>
    <w:p w:rsidR="006852DE" w:rsidRDefault="006852DE">
      <w:pPr>
        <w:rPr>
          <w:color w:val="FF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BE06627" wp14:editId="2BF7CA61">
            <wp:extent cx="5490160" cy="3731079"/>
            <wp:effectExtent l="0" t="0" r="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96846" cy="3735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2DE" w:rsidRDefault="006852DE">
      <w:pPr>
        <w:rPr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0B5782BF" wp14:editId="48C1F94C">
            <wp:extent cx="5923946" cy="3992335"/>
            <wp:effectExtent l="0" t="0" r="635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2451" cy="4004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2DE" w:rsidRDefault="006852DE">
      <w:pPr>
        <w:rPr>
          <w:color w:val="FF0000"/>
          <w:sz w:val="24"/>
          <w:szCs w:val="24"/>
        </w:rPr>
      </w:pPr>
    </w:p>
    <w:p w:rsidR="006852DE" w:rsidRPr="006852DE" w:rsidRDefault="006852DE">
      <w:pPr>
        <w:rPr>
          <w:sz w:val="24"/>
          <w:szCs w:val="24"/>
        </w:rPr>
      </w:pPr>
      <w:r w:rsidRPr="006852DE">
        <w:rPr>
          <w:sz w:val="24"/>
          <w:szCs w:val="24"/>
        </w:rPr>
        <w:lastRenderedPageBreak/>
        <w:t>Links</w:t>
      </w:r>
      <w:r w:rsidR="00665661">
        <w:rPr>
          <w:sz w:val="24"/>
          <w:szCs w:val="24"/>
        </w:rPr>
        <w:t xml:space="preserve"> for the above page</w:t>
      </w:r>
      <w:r w:rsidRPr="006852DE">
        <w:rPr>
          <w:sz w:val="24"/>
          <w:szCs w:val="24"/>
        </w:rPr>
        <w:t>:</w:t>
      </w:r>
    </w:p>
    <w:p w:rsidR="006852DE" w:rsidRDefault="006852DE">
      <w:pPr>
        <w:rPr>
          <w:sz w:val="24"/>
          <w:szCs w:val="24"/>
        </w:rPr>
      </w:pPr>
      <w:r w:rsidRPr="006852DE">
        <w:rPr>
          <w:sz w:val="24"/>
          <w:szCs w:val="24"/>
        </w:rPr>
        <w:t xml:space="preserve">1.  </w:t>
      </w:r>
      <w:hyperlink r:id="rId21" w:history="1">
        <w:r w:rsidRPr="0072245C">
          <w:rPr>
            <w:rStyle w:val="Hyperlink"/>
            <w:sz w:val="24"/>
            <w:szCs w:val="24"/>
          </w:rPr>
          <w:t>http://www.packers.com/news-and-events/infographic/article-1/Infographic-Green-Bay-Packers-2014-Schedule/37113ff8-274b-4045-aad1-2513c8a09c67</w:t>
        </w:r>
      </w:hyperlink>
      <w:r>
        <w:rPr>
          <w:sz w:val="24"/>
          <w:szCs w:val="24"/>
        </w:rPr>
        <w:t>.</w:t>
      </w:r>
    </w:p>
    <w:p w:rsidR="006852DE" w:rsidRDefault="006852DE">
      <w:pPr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hyperlink r:id="rId22" w:history="1">
        <w:r w:rsidRPr="0072245C">
          <w:rPr>
            <w:rStyle w:val="Hyperlink"/>
            <w:sz w:val="24"/>
            <w:szCs w:val="24"/>
          </w:rPr>
          <w:t>https://blog.hubspot.com/marketing/best-infographics-2015#sm.0000bat3qwax9eij11h7bildhe45q</w:t>
        </w:r>
      </w:hyperlink>
    </w:p>
    <w:p w:rsidR="006852DE" w:rsidRDefault="006852DE">
      <w:pPr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hyperlink r:id="rId23" w:history="1">
        <w:r w:rsidRPr="0072245C">
          <w:rPr>
            <w:rStyle w:val="Hyperlink"/>
            <w:sz w:val="24"/>
            <w:szCs w:val="24"/>
          </w:rPr>
          <w:t>http://www.example-infographics.com/</w:t>
        </w:r>
      </w:hyperlink>
    </w:p>
    <w:p w:rsidR="00665661" w:rsidRDefault="00665661">
      <w:pPr>
        <w:rPr>
          <w:sz w:val="24"/>
          <w:szCs w:val="24"/>
        </w:rPr>
      </w:pPr>
    </w:p>
    <w:p w:rsidR="006852DE" w:rsidRDefault="006852DE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31D683F" wp14:editId="7A11EC54">
            <wp:extent cx="5219700" cy="3429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615" w:rsidRPr="006852DE" w:rsidRDefault="006852DE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F36F20D" wp14:editId="6C303AF5">
            <wp:extent cx="1570940" cy="5739493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31760" cy="596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665661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1AF1FB87" wp14:editId="2D530154">
            <wp:extent cx="1355272" cy="3783919"/>
            <wp:effectExtent l="0" t="0" r="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67035" cy="3816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7615" w:rsidRPr="006852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E97B55"/>
    <w:multiLevelType w:val="multilevel"/>
    <w:tmpl w:val="9BEE6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0E51C22"/>
    <w:multiLevelType w:val="multilevel"/>
    <w:tmpl w:val="16CCE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20D"/>
    <w:rsid w:val="004147F7"/>
    <w:rsid w:val="00665661"/>
    <w:rsid w:val="006852DE"/>
    <w:rsid w:val="007B31BB"/>
    <w:rsid w:val="007B7615"/>
    <w:rsid w:val="008A220D"/>
    <w:rsid w:val="008C2C92"/>
    <w:rsid w:val="00AE257F"/>
    <w:rsid w:val="00B67840"/>
    <w:rsid w:val="00E327AD"/>
    <w:rsid w:val="00F53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E711EAB-77A5-485D-8E3C-927DCA4A8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A220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98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67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37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18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70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00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4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9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22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7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93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hyperlink" Target="http://www.packers.com/news-and-events/infographic/article-1/Infographic-Green-Bay-Packers-2014-Schedule/37113ff8-274b-4045-aad1-2513c8a09c67" TargetMode="External"/><Relationship Id="rId7" Type="http://schemas.openxmlformats.org/officeDocument/2006/relationships/hyperlink" Target="https://multimodalstudies.wordpress.com/what-is-multimodal-literacy/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hyperlink" Target="http://www.example-infographics.com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blog.hubspot.com/marketing/best-infographics-2015#sm.0000bat3qwax9eij11h7bildhe45q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511</Words>
  <Characters>2916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MarieCelis</dc:creator>
  <cp:keywords/>
  <dc:description/>
  <cp:lastModifiedBy>MarieCelis</cp:lastModifiedBy>
  <cp:revision>2</cp:revision>
  <dcterms:created xsi:type="dcterms:W3CDTF">2018-02-27T05:53:00Z</dcterms:created>
  <dcterms:modified xsi:type="dcterms:W3CDTF">2018-02-27T05:53:00Z</dcterms:modified>
</cp:coreProperties>
</file>