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872966683"/>
        <w:docPartObj>
          <w:docPartGallery w:val="Cover Pages"/>
          <w:docPartUnique/>
        </w:docPartObj>
      </w:sdtPr>
      <w:sdtContent>
        <w:p w:rsidR="002B01A3" w:rsidRDefault="00D73E66">
          <w:r>
            <w:rPr>
              <w:noProof/>
              <w:lang w:eastAsia="en-GB"/>
            </w:rPr>
            <mc:AlternateContent>
              <mc:Choice Requires="wps">
                <w:drawing>
                  <wp:anchor distT="0" distB="0" distL="114300" distR="114300" simplePos="0" relativeHeight="251659264" behindDoc="0" locked="0" layoutInCell="1" allowOverlap="1" wp14:anchorId="5D297E7D" wp14:editId="1BE66AB0">
                    <wp:simplePos x="0" y="0"/>
                    <wp:positionH relativeFrom="margin">
                      <wp:posOffset>5153025</wp:posOffset>
                    </wp:positionH>
                    <wp:positionV relativeFrom="page">
                      <wp:posOffset>247650</wp:posOffset>
                    </wp:positionV>
                    <wp:extent cx="914400" cy="1012874"/>
                    <wp:effectExtent l="0" t="0" r="0" b="0"/>
                    <wp:wrapNone/>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914400" cy="1012874"/>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906114129"/>
                                  <w:dataBinding w:prefixMappings="xmlns:ns0='http://schemas.microsoft.com/office/2006/coverPageProps' " w:xpath="/ns0:CoverPageProperties[1]/ns0:PublishDate[1]" w:storeItemID="{55AF091B-3C7A-41E3-B477-F2FDAA23CFDA}"/>
                                  <w:date w:fullDate="2018-02-26T00:00:00Z">
                                    <w:dateFormat w:val="yyyy"/>
                                    <w:lid w:val="en-US"/>
                                    <w:storeMappedDataAs w:val="dateTime"/>
                                    <w:calendar w:val="gregorian"/>
                                  </w:date>
                                </w:sdtPr>
                                <w:sdtContent>
                                  <w:p w:rsidR="002B01A3" w:rsidRDefault="00D73E66">
                                    <w:pPr>
                                      <w:pStyle w:val="NoSpacing"/>
                                      <w:jc w:val="right"/>
                                      <w:rPr>
                                        <w:color w:val="FFFFFF" w:themeColor="background1"/>
                                        <w:sz w:val="24"/>
                                        <w:szCs w:val="24"/>
                                      </w:rPr>
                                    </w:pPr>
                                    <w:r>
                                      <w:rPr>
                                        <w:color w:val="FFFFFF" w:themeColor="background1"/>
                                        <w:sz w:val="24"/>
                                        <w:szCs w:val="24"/>
                                      </w:rPr>
                                      <w:t>26/02/2018</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D297E7D" id="Rectangle 132" o:spid="_x0000_s1026" style="position:absolute;margin-left:405.75pt;margin-top:19.5pt;width:1in;height:79.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" fillcolor="#5b9bd5 [3204]" stroked="f" strokeweight="1pt">
                    <v:path arrowok="t"/>
                    <o:lock v:ext="edit" aspectratio="t"/>
                    <v:textbox inset="3.6pt,,3.6pt">
                      <w:txbxContent>
                        <w:sdt>
                          <w:sdtPr>
                            <w:rPr>
                              <w:color w:val="FFFFFF" w:themeColor="background1"/>
                              <w:sz w:val="24"/>
                              <w:szCs w:val="24"/>
                            </w:rPr>
                            <w:alias w:val="Year"/>
                            <w:tag w:val=""/>
                            <w:id w:val="906114129"/>
                            <w:dataBinding w:prefixMappings="xmlns:ns0='http://schemas.microsoft.com/office/2006/coverPageProps' " w:xpath="/ns0:CoverPageProperties[1]/ns0:PublishDate[1]" w:storeItemID="{55AF091B-3C7A-41E3-B477-F2FDAA23CFDA}"/>
                            <w:date w:fullDate="2018-02-26T00:00:00Z">
                              <w:dateFormat w:val="yyyy"/>
                              <w:lid w:val="en-US"/>
                              <w:storeMappedDataAs w:val="dateTime"/>
                              <w:calendar w:val="gregorian"/>
                            </w:date>
                          </w:sdtPr>
                          <w:sdtContent>
                            <w:p w:rsidR="002B01A3" w:rsidRDefault="00D73E66">
                              <w:pPr>
                                <w:pStyle w:val="NoSpacing"/>
                                <w:jc w:val="right"/>
                                <w:rPr>
                                  <w:color w:val="FFFFFF" w:themeColor="background1"/>
                                  <w:sz w:val="24"/>
                                  <w:szCs w:val="24"/>
                                </w:rPr>
                              </w:pPr>
                              <w:r>
                                <w:rPr>
                                  <w:color w:val="FFFFFF" w:themeColor="background1"/>
                                  <w:sz w:val="24"/>
                                  <w:szCs w:val="24"/>
                                </w:rPr>
                                <w:t>26/02/2018</w:t>
                              </w:r>
                            </w:p>
                          </w:sdtContent>
                        </w:sdt>
                      </w:txbxContent>
                    </v:textbox>
                    <w10:wrap anchorx="margin" anchory="page"/>
                  </v:rect>
                </w:pict>
              </mc:Fallback>
            </mc:AlternateContent>
          </w:r>
          <w:r w:rsidR="002B01A3">
            <w:rPr>
              <w:noProof/>
              <w:lang w:eastAsia="en-GB"/>
            </w:rPr>
            <w:drawing>
              <wp:anchor distT="0" distB="0" distL="114300" distR="114300" simplePos="0" relativeHeight="251661312" behindDoc="1" locked="0" layoutInCell="1" allowOverlap="1" wp14:anchorId="062284E3" wp14:editId="75509E9A">
                <wp:simplePos x="0" y="0"/>
                <wp:positionH relativeFrom="margin">
                  <wp:align>left</wp:align>
                </wp:positionH>
                <wp:positionV relativeFrom="page">
                  <wp:posOffset>190500</wp:posOffset>
                </wp:positionV>
                <wp:extent cx="3295650" cy="20993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S-SES.jpg"/>
                        <pic:cNvPicPr/>
                      </pic:nvPicPr>
                      <pic:blipFill>
                        <a:blip r:embed="rId9">
                          <a:extLst>
                            <a:ext uri="{28A0092B-C50C-407E-A947-70E740481C1C}">
                              <a14:useLocalDpi xmlns:a14="http://schemas.microsoft.com/office/drawing/2010/main" val="0"/>
                            </a:ext>
                          </a:extLst>
                        </a:blip>
                        <a:stretch>
                          <a:fillRect/>
                        </a:stretch>
                      </pic:blipFill>
                      <pic:spPr>
                        <a:xfrm>
                          <a:off x="0" y="0"/>
                          <a:ext cx="3295650" cy="2099310"/>
                        </a:xfrm>
                        <a:prstGeom prst="rect">
                          <a:avLst/>
                        </a:prstGeom>
                      </pic:spPr>
                    </pic:pic>
                  </a:graphicData>
                </a:graphic>
                <wp14:sizeRelV relativeFrom="margin">
                  <wp14:pctHeight>0</wp14:pctHeight>
                </wp14:sizeRelV>
              </wp:anchor>
            </w:drawing>
          </w:r>
        </w:p>
        <w:p w:rsidR="002B01A3" w:rsidRDefault="002B01A3">
          <w:r>
            <w:rPr>
              <w:noProof/>
              <w:lang w:eastAsia="en-GB"/>
            </w:rPr>
            <mc:AlternateContent>
              <mc:Choice Requires="wps">
                <w:drawing>
                  <wp:anchor distT="0" distB="0" distL="182880" distR="182880" simplePos="0" relativeHeight="251660288" behindDoc="0" locked="0" layoutInCell="1" allowOverlap="1" wp14:anchorId="30E1653E" wp14:editId="51F5D98F">
                    <wp:simplePos x="0" y="0"/>
                    <mc:AlternateContent>
                      <mc:Choice Requires="wp14">
                        <wp:positionH relativeFrom="margin">
                          <wp14:pctPosHOffset>7700</wp14:pctPosHOffset>
                        </wp:positionH>
                      </mc:Choice>
                      <mc:Fallback>
                        <wp:positionH relativeFrom="page">
                          <wp:posOffset>1355725</wp:posOffset>
                        </wp:positionH>
                      </mc:Fallback>
                    </mc:AlternateContent>
                    <mc:AlternateContent>
                      <mc:Choice Requires="wp14">
                        <wp:positionV relativeFrom="page">
                          <wp14:pctPosVOffset>54000</wp14:pctPosVOffset>
                        </wp:positionV>
                      </mc:Choice>
                      <mc:Fallback>
                        <wp:positionV relativeFrom="page">
                          <wp:posOffset>5773420</wp:posOffset>
                        </wp:positionV>
                      </mc:Fallback>
                    </mc:AlternateContent>
                    <wp:extent cx="5438775" cy="2162175"/>
                    <wp:effectExtent l="0" t="0" r="9525" b="9525"/>
                    <wp:wrapSquare wrapText="bothSides"/>
                    <wp:docPr id="131" name="Text Box 131"/>
                    <wp:cNvGraphicFramePr/>
                    <a:graphic xmlns:a="http://schemas.openxmlformats.org/drawingml/2006/main">
                      <a:graphicData uri="http://schemas.microsoft.com/office/word/2010/wordprocessingShape">
                        <wps:wsp>
                          <wps:cNvSpPr txBox="1"/>
                          <wps:spPr>
                            <a:xfrm>
                              <a:off x="0" y="0"/>
                              <a:ext cx="5438775" cy="2162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B01A3" w:rsidRPr="002B01A3" w:rsidRDefault="002B01A3">
                                <w:pPr>
                                  <w:pStyle w:val="NoSpacing"/>
                                  <w:spacing w:before="40" w:after="560" w:line="216" w:lineRule="auto"/>
                                  <w:rPr>
                                    <w:color w:val="5B9BD5" w:themeColor="accent1"/>
                                    <w:sz w:val="56"/>
                                    <w:szCs w:val="72"/>
                                  </w:rPr>
                                </w:pPr>
                                <w:sdt>
                                  <w:sdtPr>
                                    <w:rPr>
                                      <w:color w:val="5B9BD5" w:themeColor="accent1"/>
                                      <w:sz w:val="56"/>
                                      <w:szCs w:val="72"/>
                                    </w:rPr>
                                    <w:alias w:val="Title"/>
                                    <w:tag w:val=""/>
                                    <w:id w:val="205150296"/>
                                    <w:dataBinding w:prefixMappings="xmlns:ns0='http://purl.org/dc/elements/1.1/' xmlns:ns1='http://schemas.openxmlformats.org/package/2006/metadata/core-properties' " w:xpath="/ns1:coreProperties[1]/ns0:title[1]" w:storeItemID="{6C3C8BC8-F283-45AE-878A-BAB7291924A1}"/>
                                    <w:text/>
                                  </w:sdtPr>
                                  <w:sdtContent>
                                    <w:r w:rsidRPr="002B01A3">
                                      <w:rPr>
                                        <w:color w:val="5B9BD5" w:themeColor="accent1"/>
                                        <w:sz w:val="56"/>
                                        <w:szCs w:val="72"/>
                                      </w:rPr>
                                      <w:t>DOSE POWDER MANUFACTURE AND STANDARD OPERATING PROCEDURES</w:t>
                                    </w:r>
                                  </w:sdtContent>
                                </w:sdt>
                              </w:p>
                              <w:sdt>
                                <w:sdtPr>
                                  <w:rPr>
                                    <w:caps/>
                                    <w:color w:val="1F3864" w:themeColor="accent5" w:themeShade="80"/>
                                    <w:sz w:val="28"/>
                                    <w:szCs w:val="28"/>
                                  </w:rPr>
                                  <w:alias w:val="Subtitle"/>
                                  <w:tag w:val=""/>
                                  <w:id w:val="-1906445849"/>
                                  <w:dataBinding w:prefixMappings="xmlns:ns0='http://purl.org/dc/elements/1.1/' xmlns:ns1='http://schemas.openxmlformats.org/package/2006/metadata/core-properties' " w:xpath="/ns1:coreProperties[1]/ns0:subject[1]" w:storeItemID="{6C3C8BC8-F283-45AE-878A-BAB7291924A1}"/>
                                  <w:text/>
                                </w:sdtPr>
                                <w:sdtContent>
                                  <w:p w:rsidR="002B01A3" w:rsidRDefault="006D17F5">
                                    <w:pPr>
                                      <w:pStyle w:val="NoSpacing"/>
                                      <w:spacing w:before="40" w:after="40"/>
                                      <w:rPr>
                                        <w:caps/>
                                        <w:color w:val="1F3864" w:themeColor="accent5" w:themeShade="80"/>
                                        <w:sz w:val="28"/>
                                        <w:szCs w:val="28"/>
                                      </w:rPr>
                                    </w:pPr>
                                    <w:r>
                                      <w:rPr>
                                        <w:caps/>
                                        <w:color w:val="1F3864" w:themeColor="accent5" w:themeShade="80"/>
                                        <w:sz w:val="28"/>
                                        <w:szCs w:val="28"/>
                                        <w:lang w:val="en-GB"/>
                                      </w:rPr>
                                      <w:t>pHARMACEUTICS LAB REPORT BY GEORGIOS AKRITIDIS</w:t>
                                    </w:r>
                                  </w:p>
                                </w:sdtContent>
                              </w:sdt>
                              <w:sdt>
                                <w:sdtPr>
                                  <w:rPr>
                                    <w:caps/>
                                    <w:color w:val="4472C4" w:themeColor="accent5"/>
                                    <w:sz w:val="24"/>
                                    <w:szCs w:val="24"/>
                                  </w:rPr>
                                  <w:alias w:val="Author"/>
                                  <w:tag w:val=""/>
                                  <w:id w:val="-1498961748"/>
                                  <w:dataBinding w:prefixMappings="xmlns:ns0='http://purl.org/dc/elements/1.1/' xmlns:ns1='http://schemas.openxmlformats.org/package/2006/metadata/core-properties' " w:xpath="/ns1:coreProperties[1]/ns0:creator[1]" w:storeItemID="{6C3C8BC8-F283-45AE-878A-BAB7291924A1}"/>
                                  <w:text/>
                                </w:sdtPr>
                                <w:sdtContent>
                                  <w:p w:rsidR="002B01A3" w:rsidRDefault="006D17F5">
                                    <w:pPr>
                                      <w:pStyle w:val="NoSpacing"/>
                                      <w:spacing w:before="80" w:after="40"/>
                                      <w:rPr>
                                        <w:caps/>
                                        <w:color w:val="4472C4" w:themeColor="accent5"/>
                                        <w:sz w:val="24"/>
                                        <w:szCs w:val="24"/>
                                      </w:rPr>
                                    </w:pPr>
                                    <w:r>
                                      <w:rPr>
                                        <w:caps/>
                                        <w:color w:val="4472C4" w:themeColor="accent5"/>
                                        <w:sz w:val="24"/>
                                        <w:szCs w:val="24"/>
                                        <w:lang w:val="en-GB"/>
                                      </w:rPr>
                                      <w:t>STUDENT id;1241729468</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30E1653E" id="_x0000_t202" coordsize="21600,21600" o:spt="202" path="m,l,21600r21600,l21600,xe">
                    <v:stroke joinstyle="miter"/>
                    <v:path gradientshapeok="t" o:connecttype="rect"/>
                  </v:shapetype>
                  <v:shape id="Text Box 131" o:spid="_x0000_s1027" type="#_x0000_t202" style="position:absolute;margin-left:0;margin-top:0;width:428.25pt;height:170.25pt;z-index:251660288;visibility:visible;mso-wrap-style:square;mso-width-percent:0;mso-height-percent:0;mso-left-percent:77;mso-top-percent:540;mso-wrap-distance-left:14.4pt;mso-wrap-distance-top:0;mso-wrap-distance-right:14.4pt;mso-wrap-distance-bottom:0;mso-position-horizontal-relative:margin;mso-position-vertical-relative:page;mso-width-percent:0;mso-height-percent: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" filled="f" stroked="f" strokeweight=".5pt">
                    <v:textbox inset="0,0,0,0">
                      <w:txbxContent>
                        <w:p w:rsidR="002B01A3" w:rsidRPr="002B01A3" w:rsidRDefault="002B01A3">
                          <w:pPr>
                            <w:pStyle w:val="NoSpacing"/>
                            <w:spacing w:before="40" w:after="560" w:line="216" w:lineRule="auto"/>
                            <w:rPr>
                              <w:color w:val="5B9BD5" w:themeColor="accent1"/>
                              <w:sz w:val="56"/>
                              <w:szCs w:val="72"/>
                            </w:rPr>
                          </w:pPr>
                          <w:sdt>
                            <w:sdtPr>
                              <w:rPr>
                                <w:color w:val="5B9BD5" w:themeColor="accent1"/>
                                <w:sz w:val="56"/>
                                <w:szCs w:val="72"/>
                              </w:rPr>
                              <w:alias w:val="Title"/>
                              <w:tag w:val=""/>
                              <w:id w:val="205150296"/>
                              <w:dataBinding w:prefixMappings="xmlns:ns0='http://purl.org/dc/elements/1.1/' xmlns:ns1='http://schemas.openxmlformats.org/package/2006/metadata/core-properties' " w:xpath="/ns1:coreProperties[1]/ns0:title[1]" w:storeItemID="{6C3C8BC8-F283-45AE-878A-BAB7291924A1}"/>
                              <w:text/>
                            </w:sdtPr>
                            <w:sdtContent>
                              <w:r w:rsidRPr="002B01A3">
                                <w:rPr>
                                  <w:color w:val="5B9BD5" w:themeColor="accent1"/>
                                  <w:sz w:val="56"/>
                                  <w:szCs w:val="72"/>
                                </w:rPr>
                                <w:t>DOSE POWDER MANUFACTURE AND STANDARD OPERATING PROCEDURES</w:t>
                              </w:r>
                            </w:sdtContent>
                          </w:sdt>
                        </w:p>
                        <w:sdt>
                          <w:sdtPr>
                            <w:rPr>
                              <w:caps/>
                              <w:color w:val="1F3864" w:themeColor="accent5" w:themeShade="80"/>
                              <w:sz w:val="28"/>
                              <w:szCs w:val="28"/>
                            </w:rPr>
                            <w:alias w:val="Subtitle"/>
                            <w:tag w:val=""/>
                            <w:id w:val="-1906445849"/>
                            <w:dataBinding w:prefixMappings="xmlns:ns0='http://purl.org/dc/elements/1.1/' xmlns:ns1='http://schemas.openxmlformats.org/package/2006/metadata/core-properties' " w:xpath="/ns1:coreProperties[1]/ns0:subject[1]" w:storeItemID="{6C3C8BC8-F283-45AE-878A-BAB7291924A1}"/>
                            <w:text/>
                          </w:sdtPr>
                          <w:sdtContent>
                            <w:p w:rsidR="002B01A3" w:rsidRDefault="006D17F5">
                              <w:pPr>
                                <w:pStyle w:val="NoSpacing"/>
                                <w:spacing w:before="40" w:after="40"/>
                                <w:rPr>
                                  <w:caps/>
                                  <w:color w:val="1F3864" w:themeColor="accent5" w:themeShade="80"/>
                                  <w:sz w:val="28"/>
                                  <w:szCs w:val="28"/>
                                </w:rPr>
                              </w:pPr>
                              <w:r>
                                <w:rPr>
                                  <w:caps/>
                                  <w:color w:val="1F3864" w:themeColor="accent5" w:themeShade="80"/>
                                  <w:sz w:val="28"/>
                                  <w:szCs w:val="28"/>
                                  <w:lang w:val="en-GB"/>
                                </w:rPr>
                                <w:t>pHARMACEUTICS LAB REPORT BY GEORGIOS AKRITIDIS</w:t>
                              </w:r>
                            </w:p>
                          </w:sdtContent>
                        </w:sdt>
                        <w:sdt>
                          <w:sdtPr>
                            <w:rPr>
                              <w:caps/>
                              <w:color w:val="4472C4" w:themeColor="accent5"/>
                              <w:sz w:val="24"/>
                              <w:szCs w:val="24"/>
                            </w:rPr>
                            <w:alias w:val="Author"/>
                            <w:tag w:val=""/>
                            <w:id w:val="-1498961748"/>
                            <w:dataBinding w:prefixMappings="xmlns:ns0='http://purl.org/dc/elements/1.1/' xmlns:ns1='http://schemas.openxmlformats.org/package/2006/metadata/core-properties' " w:xpath="/ns1:coreProperties[1]/ns0:creator[1]" w:storeItemID="{6C3C8BC8-F283-45AE-878A-BAB7291924A1}"/>
                            <w:text/>
                          </w:sdtPr>
                          <w:sdtContent>
                            <w:p w:rsidR="002B01A3" w:rsidRDefault="006D17F5">
                              <w:pPr>
                                <w:pStyle w:val="NoSpacing"/>
                                <w:spacing w:before="80" w:after="40"/>
                                <w:rPr>
                                  <w:caps/>
                                  <w:color w:val="4472C4" w:themeColor="accent5"/>
                                  <w:sz w:val="24"/>
                                  <w:szCs w:val="24"/>
                                </w:rPr>
                              </w:pPr>
                              <w:r>
                                <w:rPr>
                                  <w:caps/>
                                  <w:color w:val="4472C4" w:themeColor="accent5"/>
                                  <w:sz w:val="24"/>
                                  <w:szCs w:val="24"/>
                                  <w:lang w:val="en-GB"/>
                                </w:rPr>
                                <w:t>STUDENT id;1241729468</w:t>
                              </w:r>
                            </w:p>
                          </w:sdtContent>
                        </w:sdt>
                      </w:txbxContent>
                    </v:textbox>
                    <w10:wrap type="square" anchorx="margin" anchory="page"/>
                  </v:shape>
                </w:pict>
              </mc:Fallback>
            </mc:AlternateContent>
          </w:r>
          <w:r>
            <w:br w:type="page"/>
          </w:r>
        </w:p>
      </w:sdtContent>
    </w:sdt>
    <w:p w:rsidR="003403E9" w:rsidRDefault="0084148B" w:rsidP="0084148B">
      <w:pPr>
        <w:pStyle w:val="ListParagraph"/>
        <w:numPr>
          <w:ilvl w:val="0"/>
          <w:numId w:val="1"/>
        </w:numPr>
        <w:rPr>
          <w:b/>
          <w:sz w:val="24"/>
        </w:rPr>
      </w:pPr>
      <w:r w:rsidRPr="0084148B">
        <w:rPr>
          <w:b/>
          <w:sz w:val="24"/>
        </w:rPr>
        <w:lastRenderedPageBreak/>
        <w:t>Standard Operating Procedures</w:t>
      </w:r>
    </w:p>
    <w:p w:rsidR="0084148B" w:rsidRDefault="0084148B" w:rsidP="0084148B">
      <w:pPr>
        <w:ind w:left="360"/>
        <w:jc w:val="both"/>
        <w:rPr>
          <w:sz w:val="24"/>
        </w:rPr>
      </w:pPr>
    </w:p>
    <w:p w:rsidR="0084148B" w:rsidRDefault="00650DC0" w:rsidP="00FF023C">
      <w:pPr>
        <w:spacing w:line="360" w:lineRule="auto"/>
        <w:ind w:left="360"/>
        <w:jc w:val="both"/>
        <w:rPr>
          <w:sz w:val="24"/>
        </w:rPr>
      </w:pPr>
      <w:r>
        <w:rPr>
          <w:sz w:val="24"/>
        </w:rPr>
        <w:t>In general, a</w:t>
      </w:r>
      <w:r w:rsidR="0084148B">
        <w:rPr>
          <w:sz w:val="24"/>
        </w:rPr>
        <w:t xml:space="preserve"> standard operating procedure (SOP), is an </w:t>
      </w:r>
      <w:r>
        <w:rPr>
          <w:sz w:val="24"/>
        </w:rPr>
        <w:t>approved written instruction describing how a routine task should be carried out, by whom, where and when.</w:t>
      </w:r>
    </w:p>
    <w:p w:rsidR="000D182E" w:rsidRDefault="00650DC0" w:rsidP="00FF023C">
      <w:pPr>
        <w:spacing w:line="360" w:lineRule="auto"/>
        <w:ind w:left="360"/>
        <w:jc w:val="both"/>
        <w:rPr>
          <w:sz w:val="24"/>
        </w:rPr>
      </w:pPr>
      <w:r>
        <w:rPr>
          <w:sz w:val="24"/>
        </w:rPr>
        <w:t>In</w:t>
      </w:r>
      <w:r w:rsidR="00CD007C">
        <w:rPr>
          <w:sz w:val="24"/>
        </w:rPr>
        <w:t xml:space="preserve"> pharmacy, SOP is followed to ensure that operations have been carried out in the same manner and consistently, in a situation. </w:t>
      </w:r>
    </w:p>
    <w:p w:rsidR="000D182E" w:rsidRDefault="000D182E" w:rsidP="00FF023C">
      <w:pPr>
        <w:spacing w:line="360" w:lineRule="auto"/>
        <w:ind w:left="360"/>
        <w:jc w:val="both"/>
        <w:rPr>
          <w:sz w:val="24"/>
        </w:rPr>
      </w:pPr>
      <w:r>
        <w:rPr>
          <w:sz w:val="24"/>
        </w:rPr>
        <w:t xml:space="preserve">In pharmaceutical lab classes we have dealt with extemporaneous preparations. These are medicines prepared for a named specific patient in response to the prescriber’s instructions. Before dispensing an extemporaneous product, we have to make sure it meets extemporaneous product standards. </w:t>
      </w:r>
      <w:r w:rsidR="00FF023C">
        <w:rPr>
          <w:sz w:val="24"/>
        </w:rPr>
        <w:t>The product should be given a short expiry date (often only 7 days), prepared or supervised by a Pharmacist, must only be prepared against a legal prescription i.e named patient. Also, these products should have prepared using standards that comply with local and QA regional audit, released following check by any locally approved Pharmacist, have a final check and release to patient done at the same time.</w:t>
      </w:r>
    </w:p>
    <w:p w:rsidR="00EF6E9E" w:rsidRDefault="007C0326" w:rsidP="00FF023C">
      <w:pPr>
        <w:spacing w:line="360" w:lineRule="auto"/>
        <w:ind w:left="360"/>
        <w:jc w:val="both"/>
        <w:rPr>
          <w:sz w:val="24"/>
        </w:rPr>
      </w:pPr>
      <w:r>
        <w:rPr>
          <w:sz w:val="24"/>
        </w:rPr>
        <w:t>The significance of following these steps in order to dispense a product properly, is related to the patient’s safety and health, and further in society’s</w:t>
      </w:r>
      <w:r w:rsidR="003C2D72">
        <w:rPr>
          <w:sz w:val="24"/>
        </w:rPr>
        <w:t xml:space="preserve"> wellbeing</w:t>
      </w:r>
      <w:r>
        <w:rPr>
          <w:sz w:val="24"/>
        </w:rPr>
        <w:t xml:space="preserve">. In other words, it is really important, </w:t>
      </w:r>
      <w:r w:rsidR="003C2D72">
        <w:rPr>
          <w:sz w:val="24"/>
        </w:rPr>
        <w:t xml:space="preserve">for </w:t>
      </w:r>
      <w:r>
        <w:rPr>
          <w:sz w:val="24"/>
        </w:rPr>
        <w:t xml:space="preserve">the healthcare professional </w:t>
      </w:r>
      <w:r w:rsidR="003C2D72">
        <w:rPr>
          <w:sz w:val="24"/>
        </w:rPr>
        <w:t>to do follow SOPs because they play a large instrumental in product’s quality and further in patient’s life. By following these approved instructions, not only they protect the society but also ensure products quality for wellness and safety</w:t>
      </w:r>
      <w:r w:rsidR="00EF6E9E">
        <w:rPr>
          <w:sz w:val="24"/>
        </w:rPr>
        <w:t>, and generally reduce the errors in procedures</w:t>
      </w:r>
      <w:r w:rsidR="003C2D72">
        <w:rPr>
          <w:sz w:val="24"/>
        </w:rPr>
        <w:t xml:space="preserve"> which make up Good Manufacturing Practice (GMP).</w:t>
      </w:r>
    </w:p>
    <w:p w:rsidR="00EF6E9E" w:rsidRDefault="00EF6E9E">
      <w:pPr>
        <w:rPr>
          <w:sz w:val="24"/>
        </w:rPr>
      </w:pPr>
      <w:r>
        <w:rPr>
          <w:sz w:val="24"/>
        </w:rPr>
        <w:br w:type="page"/>
      </w:r>
    </w:p>
    <w:p w:rsidR="00FF023C" w:rsidRDefault="00EF6E9E" w:rsidP="00EF6E9E">
      <w:pPr>
        <w:pStyle w:val="ListParagraph"/>
        <w:numPr>
          <w:ilvl w:val="0"/>
          <w:numId w:val="1"/>
        </w:numPr>
        <w:spacing w:line="360" w:lineRule="auto"/>
        <w:jc w:val="both"/>
        <w:rPr>
          <w:b/>
          <w:sz w:val="24"/>
        </w:rPr>
      </w:pPr>
      <w:r w:rsidRPr="00EF6E9E">
        <w:rPr>
          <w:b/>
          <w:sz w:val="24"/>
        </w:rPr>
        <w:lastRenderedPageBreak/>
        <w:t>Unlicensed Medicines</w:t>
      </w:r>
    </w:p>
    <w:p w:rsidR="00EF6E9E" w:rsidRDefault="00EF6E9E" w:rsidP="00EF6E9E">
      <w:pPr>
        <w:spacing w:line="360" w:lineRule="auto"/>
        <w:ind w:left="360"/>
        <w:jc w:val="both"/>
        <w:rPr>
          <w:sz w:val="24"/>
        </w:rPr>
      </w:pPr>
      <w:r>
        <w:rPr>
          <w:sz w:val="24"/>
        </w:rPr>
        <w:t>Apart from that, unlicensed medicines are prescribed when suitable ones are not in stock in order to meet the patient’s clinical needs. Two main categories distinguish unlicensed medicines, extemporaneous and specials.</w:t>
      </w:r>
      <w:r w:rsidR="008C185F">
        <w:rPr>
          <w:sz w:val="24"/>
        </w:rPr>
        <w:t xml:space="preserve"> Extemporaneous preparations are part of specials.</w:t>
      </w:r>
      <w:r w:rsidR="00BB33D9">
        <w:rPr>
          <w:sz w:val="24"/>
        </w:rPr>
        <w:t xml:space="preserve"> </w:t>
      </w:r>
    </w:p>
    <w:p w:rsidR="00BB33D9" w:rsidRDefault="00BB33D9" w:rsidP="00EF6E9E">
      <w:pPr>
        <w:spacing w:line="360" w:lineRule="auto"/>
        <w:ind w:left="360"/>
        <w:jc w:val="both"/>
        <w:rPr>
          <w:sz w:val="24"/>
        </w:rPr>
      </w:pPr>
      <w:r>
        <w:rPr>
          <w:sz w:val="24"/>
        </w:rPr>
        <w:t>Specials which are obtainable from UK commercial suppliers or from NHS pharmaceutical manufacturing units, under a Manufacturer’s Licence (Specials), issued by the MHRA, are also extemporaneously prepared</w:t>
      </w:r>
      <w:r w:rsidR="008C185F">
        <w:rPr>
          <w:sz w:val="24"/>
        </w:rPr>
        <w:t xml:space="preserve"> as we have practised on this in pharmaceutical labs under supervision of QP</w:t>
      </w:r>
      <w:r>
        <w:rPr>
          <w:sz w:val="24"/>
        </w:rPr>
        <w:t>. The specials products must meet the standards before th</w:t>
      </w:r>
      <w:r w:rsidR="008420C5">
        <w:rPr>
          <w:sz w:val="24"/>
        </w:rPr>
        <w:t>ey dispensed. They require a Spe</w:t>
      </w:r>
      <w:r>
        <w:rPr>
          <w:sz w:val="24"/>
        </w:rPr>
        <w:t>cials Manufacturing Licence</w:t>
      </w:r>
      <w:r w:rsidR="008420C5">
        <w:rPr>
          <w:sz w:val="24"/>
        </w:rPr>
        <w:t>, have an expiry limited to stability evidence, are prepared by a trained person following approved Standard Operating Procedures (SOPs). Moreover, specials products are released by a person registered by MHRA</w:t>
      </w:r>
      <w:r w:rsidR="008C185F">
        <w:rPr>
          <w:sz w:val="24"/>
        </w:rPr>
        <w:t xml:space="preserve"> ( Medicines and Healthcare Products Regulatory Agency for UK)</w:t>
      </w:r>
      <w:r w:rsidR="008420C5">
        <w:rPr>
          <w:sz w:val="24"/>
        </w:rPr>
        <w:t>, e.g. Pharmacist or Qualified Person (QP) and are prepared using standards which must comply with MHRA inspection that are much more stringent than local/regional standards.</w:t>
      </w:r>
    </w:p>
    <w:p w:rsidR="008C185F" w:rsidRDefault="008C185F">
      <w:pPr>
        <w:rPr>
          <w:sz w:val="24"/>
        </w:rPr>
      </w:pPr>
      <w:r>
        <w:rPr>
          <w:sz w:val="24"/>
        </w:rPr>
        <w:br w:type="page"/>
      </w:r>
    </w:p>
    <w:p w:rsidR="008420C5" w:rsidRPr="008C185F" w:rsidRDefault="008C185F" w:rsidP="008C185F">
      <w:pPr>
        <w:pStyle w:val="ListParagraph"/>
        <w:numPr>
          <w:ilvl w:val="0"/>
          <w:numId w:val="1"/>
        </w:numPr>
        <w:spacing w:line="360" w:lineRule="auto"/>
        <w:jc w:val="both"/>
        <w:rPr>
          <w:b/>
          <w:sz w:val="24"/>
        </w:rPr>
      </w:pPr>
      <w:r w:rsidRPr="008C185F">
        <w:rPr>
          <w:b/>
          <w:sz w:val="24"/>
        </w:rPr>
        <w:lastRenderedPageBreak/>
        <w:t>In Practice</w:t>
      </w:r>
    </w:p>
    <w:p w:rsidR="008C185F" w:rsidRDefault="008C185F" w:rsidP="008C185F">
      <w:pPr>
        <w:spacing w:line="360" w:lineRule="auto"/>
        <w:ind w:left="360"/>
        <w:jc w:val="both"/>
        <w:rPr>
          <w:sz w:val="24"/>
        </w:rPr>
      </w:pPr>
      <w:r>
        <w:rPr>
          <w:sz w:val="24"/>
        </w:rPr>
        <w:t>On 31</w:t>
      </w:r>
      <w:r w:rsidRPr="008C185F">
        <w:rPr>
          <w:sz w:val="24"/>
          <w:vertAlign w:val="superscript"/>
        </w:rPr>
        <w:t>st</w:t>
      </w:r>
      <w:r>
        <w:rPr>
          <w:sz w:val="24"/>
        </w:rPr>
        <w:t xml:space="preserve"> of January 2018, we were asked to prepare wrapped powder</w:t>
      </w:r>
      <w:r w:rsidR="00160301">
        <w:rPr>
          <w:sz w:val="24"/>
        </w:rPr>
        <w:t>s</w:t>
      </w:r>
      <w:r>
        <w:rPr>
          <w:sz w:val="24"/>
        </w:rPr>
        <w:t xml:space="preserve"> (</w:t>
      </w:r>
      <w:r w:rsidR="00160301">
        <w:rPr>
          <w:sz w:val="24"/>
        </w:rPr>
        <w:t>Betamethasone 0.5 mg). We followed the SOPs standards and regulations and as a result we prepared specials products.</w:t>
      </w:r>
    </w:p>
    <w:p w:rsidR="00B546ED" w:rsidRDefault="00160301" w:rsidP="00B546ED">
      <w:pPr>
        <w:spacing w:line="360" w:lineRule="auto"/>
        <w:ind w:left="360"/>
        <w:jc w:val="both"/>
        <w:rPr>
          <w:sz w:val="24"/>
        </w:rPr>
      </w:pPr>
      <w:r>
        <w:rPr>
          <w:sz w:val="24"/>
        </w:rPr>
        <w:t xml:space="preserve">Before starting doing the experiment we needed to make sure our calculations and dosages were right. After that, signature y two people checked our work to make sure that we follow a SOP. Then after they checked we started preparing the powder by gently mixing the ingredients and measuring </w:t>
      </w:r>
      <w:r w:rsidR="00B546ED">
        <w:rPr>
          <w:sz w:val="24"/>
        </w:rPr>
        <w:t xml:space="preserve">out </w:t>
      </w:r>
      <w:r>
        <w:rPr>
          <w:sz w:val="24"/>
        </w:rPr>
        <w:t xml:space="preserve">accurately </w:t>
      </w:r>
      <w:r w:rsidR="00B546ED">
        <w:rPr>
          <w:sz w:val="24"/>
        </w:rPr>
        <w:t>the amount needed for one wrap to be made. Although the experiment asked for 8 wraps, we made 10 of them just to make sure that in case one wrap does not contain the right amount, there is one to replace it.</w:t>
      </w:r>
    </w:p>
    <w:p w:rsidR="00054971" w:rsidRDefault="00B546ED" w:rsidP="00B546ED">
      <w:pPr>
        <w:spacing w:line="360" w:lineRule="auto"/>
        <w:ind w:left="360"/>
        <w:jc w:val="both"/>
        <w:rPr>
          <w:sz w:val="24"/>
        </w:rPr>
      </w:pPr>
      <w:r>
        <w:rPr>
          <w:sz w:val="24"/>
        </w:rPr>
        <w:t>Then we labelled the box of the 10 wrapped powders giving it 30 days as expiry date, added the batch number and the instruction “For Stock Only”. After finishing the</w:t>
      </w:r>
      <w:r w:rsidR="00FA30CA">
        <w:rPr>
          <w:sz w:val="24"/>
        </w:rPr>
        <w:t xml:space="preserve"> experiment, we had all that procedure checked again but this time form a </w:t>
      </w:r>
      <w:r w:rsidR="00054971">
        <w:rPr>
          <w:sz w:val="24"/>
        </w:rPr>
        <w:t xml:space="preserve">qualified </w:t>
      </w:r>
      <w:r w:rsidR="00FA30CA">
        <w:rPr>
          <w:sz w:val="24"/>
        </w:rPr>
        <w:t>pharmacist.</w:t>
      </w:r>
    </w:p>
    <w:p w:rsidR="00054971" w:rsidRDefault="00054971">
      <w:pPr>
        <w:rPr>
          <w:sz w:val="24"/>
        </w:rPr>
      </w:pPr>
      <w:r>
        <w:rPr>
          <w:sz w:val="24"/>
        </w:rPr>
        <w:br w:type="page"/>
      </w:r>
    </w:p>
    <w:p w:rsidR="00B546ED" w:rsidRDefault="00054971" w:rsidP="00054971">
      <w:pPr>
        <w:pStyle w:val="ListParagraph"/>
        <w:numPr>
          <w:ilvl w:val="0"/>
          <w:numId w:val="1"/>
        </w:numPr>
        <w:spacing w:line="360" w:lineRule="auto"/>
        <w:jc w:val="both"/>
        <w:rPr>
          <w:b/>
          <w:sz w:val="24"/>
        </w:rPr>
      </w:pPr>
      <w:r w:rsidRPr="00054971">
        <w:rPr>
          <w:b/>
          <w:sz w:val="24"/>
        </w:rPr>
        <w:lastRenderedPageBreak/>
        <w:t>References</w:t>
      </w:r>
    </w:p>
    <w:p w:rsidR="00054971" w:rsidRDefault="00054971" w:rsidP="00054971">
      <w:pPr>
        <w:spacing w:line="360" w:lineRule="auto"/>
        <w:ind w:left="360"/>
        <w:jc w:val="both"/>
        <w:rPr>
          <w:b/>
          <w:sz w:val="24"/>
        </w:rPr>
      </w:pPr>
    </w:p>
    <w:p w:rsidR="00054971" w:rsidRPr="00054971" w:rsidRDefault="00054971" w:rsidP="00054971">
      <w:pPr>
        <w:pStyle w:val="ListParagraph"/>
        <w:numPr>
          <w:ilvl w:val="0"/>
          <w:numId w:val="2"/>
        </w:numPr>
        <w:spacing w:line="360" w:lineRule="auto"/>
        <w:rPr>
          <w:rFonts w:asciiTheme="majorHAnsi" w:hAnsiTheme="majorHAnsi" w:cstheme="majorHAnsi"/>
          <w:sz w:val="28"/>
          <w:szCs w:val="28"/>
        </w:rPr>
      </w:pPr>
      <w:r w:rsidRPr="00054971">
        <w:rPr>
          <w:rFonts w:asciiTheme="majorHAnsi" w:hAnsiTheme="majorHAnsi" w:cstheme="majorHAnsi"/>
          <w:sz w:val="28"/>
          <w:szCs w:val="28"/>
        </w:rPr>
        <w:t>Aulton, M., 2007. Aulton’s Pharmaceutics. 3</w:t>
      </w:r>
      <w:r w:rsidRPr="00054971">
        <w:rPr>
          <w:rFonts w:asciiTheme="majorHAnsi" w:hAnsiTheme="majorHAnsi" w:cstheme="majorHAnsi"/>
          <w:sz w:val="28"/>
          <w:szCs w:val="28"/>
          <w:vertAlign w:val="superscript"/>
        </w:rPr>
        <w:t>rd</w:t>
      </w:r>
      <w:r w:rsidRPr="00054971">
        <w:rPr>
          <w:rFonts w:asciiTheme="majorHAnsi" w:hAnsiTheme="majorHAnsi" w:cstheme="majorHAnsi"/>
          <w:sz w:val="28"/>
          <w:szCs w:val="28"/>
        </w:rPr>
        <w:t xml:space="preserve"> ed. Churchill Livingstone, Elsevier</w:t>
      </w:r>
      <w:r>
        <w:rPr>
          <w:rFonts w:asciiTheme="majorHAnsi" w:hAnsiTheme="majorHAnsi" w:cstheme="majorHAnsi"/>
          <w:sz w:val="28"/>
          <w:szCs w:val="28"/>
        </w:rPr>
        <w:t xml:space="preserve"> [</w:t>
      </w:r>
      <w:r>
        <w:rPr>
          <w:rFonts w:asciiTheme="majorHAnsi" w:hAnsiTheme="majorHAnsi" w:cstheme="majorHAnsi"/>
          <w:sz w:val="24"/>
        </w:rPr>
        <w:t>Accessed 2</w:t>
      </w:r>
      <w:r>
        <w:rPr>
          <w:rFonts w:asciiTheme="majorHAnsi" w:hAnsiTheme="majorHAnsi" w:cstheme="majorHAnsi"/>
          <w:sz w:val="24"/>
        </w:rPr>
        <w:t>2</w:t>
      </w:r>
      <w:r w:rsidRPr="00054971">
        <w:rPr>
          <w:rFonts w:asciiTheme="majorHAnsi" w:hAnsiTheme="majorHAnsi" w:cstheme="majorHAnsi"/>
          <w:sz w:val="24"/>
        </w:rPr>
        <w:t xml:space="preserve"> Feb. 2018</w:t>
      </w:r>
      <w:r>
        <w:rPr>
          <w:rFonts w:asciiTheme="majorHAnsi" w:hAnsiTheme="majorHAnsi" w:cstheme="majorHAnsi"/>
          <w:sz w:val="24"/>
        </w:rPr>
        <w:t>]</w:t>
      </w:r>
    </w:p>
    <w:p w:rsidR="00054971" w:rsidRDefault="00054971" w:rsidP="00054971">
      <w:pPr>
        <w:pStyle w:val="ListParagraph"/>
        <w:numPr>
          <w:ilvl w:val="0"/>
          <w:numId w:val="2"/>
        </w:numPr>
        <w:spacing w:line="360" w:lineRule="auto"/>
        <w:rPr>
          <w:rFonts w:asciiTheme="majorHAnsi" w:hAnsiTheme="majorHAnsi" w:cstheme="majorHAnsi"/>
          <w:sz w:val="24"/>
        </w:rPr>
      </w:pPr>
      <w:r w:rsidRPr="00054971">
        <w:rPr>
          <w:rFonts w:asciiTheme="majorHAnsi" w:hAnsiTheme="majorHAnsi" w:cstheme="majorHAnsi"/>
          <w:sz w:val="24"/>
        </w:rPr>
        <w:t>Thepsi.ie. (2018). Writing and Maintaining Standard Operating Procedures (SOPs). [online] Available at: http://www.thepsi.ie/gns/inspection-enforcement/inspections/Inspect</w:t>
      </w:r>
      <w:r>
        <w:rPr>
          <w:rFonts w:asciiTheme="majorHAnsi" w:hAnsiTheme="majorHAnsi" w:cstheme="majorHAnsi"/>
          <w:sz w:val="24"/>
        </w:rPr>
        <w:t>orsAdvice/SOPs.aspx [Accessed 24</w:t>
      </w:r>
      <w:r w:rsidRPr="00054971">
        <w:rPr>
          <w:rFonts w:asciiTheme="majorHAnsi" w:hAnsiTheme="majorHAnsi" w:cstheme="majorHAnsi"/>
          <w:sz w:val="24"/>
        </w:rPr>
        <w:t xml:space="preserve"> Feb. 2018]. </w:t>
      </w:r>
    </w:p>
    <w:p w:rsidR="00054971" w:rsidRPr="00054971" w:rsidRDefault="00054971" w:rsidP="00054971">
      <w:pPr>
        <w:pStyle w:val="ListParagraph"/>
        <w:numPr>
          <w:ilvl w:val="0"/>
          <w:numId w:val="2"/>
        </w:numPr>
        <w:spacing w:line="360" w:lineRule="auto"/>
        <w:rPr>
          <w:rFonts w:asciiTheme="majorHAnsi" w:hAnsiTheme="majorHAnsi" w:cstheme="majorHAnsi"/>
          <w:sz w:val="24"/>
        </w:rPr>
      </w:pPr>
      <w:r>
        <w:rPr>
          <w:rFonts w:asciiTheme="majorHAnsi" w:hAnsiTheme="majorHAnsi" w:cstheme="majorHAnsi"/>
          <w:sz w:val="24"/>
        </w:rPr>
        <w:t>MPH 116 Lecture notes relating to powder processing and mixing</w:t>
      </w:r>
      <w:bookmarkStart w:id="0" w:name="_GoBack"/>
      <w:bookmarkEnd w:id="0"/>
    </w:p>
    <w:sectPr w:rsidR="00054971" w:rsidRPr="00054971" w:rsidSect="002B01A3">
      <w:footerReference w:type="default" r:id="rId10"/>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2B52" w:rsidRDefault="00B62B52" w:rsidP="00C8629F">
      <w:pPr>
        <w:spacing w:after="0" w:line="240" w:lineRule="auto"/>
      </w:pPr>
      <w:r>
        <w:separator/>
      </w:r>
    </w:p>
  </w:endnote>
  <w:endnote w:type="continuationSeparator" w:id="0">
    <w:p w:rsidR="00B62B52" w:rsidRDefault="00B62B52" w:rsidP="00C86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2882921"/>
      <w:docPartObj>
        <w:docPartGallery w:val="Page Numbers (Bottom of Page)"/>
        <w:docPartUnique/>
      </w:docPartObj>
    </w:sdtPr>
    <w:sdtEndPr>
      <w:rPr>
        <w:color w:val="7F7F7F" w:themeColor="background1" w:themeShade="7F"/>
        <w:spacing w:val="60"/>
      </w:rPr>
    </w:sdtEndPr>
    <w:sdtContent>
      <w:p w:rsidR="00C8629F" w:rsidRDefault="00C8629F">
        <w:pPr>
          <w:pStyle w:val="Footer"/>
          <w:pBdr>
            <w:top w:val="single" w:sz="4" w:space="1" w:color="D9D9D9" w:themeColor="background1" w:themeShade="D9"/>
          </w:pBdr>
          <w:jc w:val="right"/>
        </w:pPr>
        <w:r>
          <w:fldChar w:fldCharType="begin"/>
        </w:r>
        <w:r>
          <w:instrText xml:space="preserve"> PAGE   \* MERGEFORMAT </w:instrText>
        </w:r>
        <w:r>
          <w:fldChar w:fldCharType="separate"/>
        </w:r>
        <w:r w:rsidR="00054971">
          <w:rPr>
            <w:noProof/>
          </w:rPr>
          <w:t>4</w:t>
        </w:r>
        <w:r>
          <w:rPr>
            <w:noProof/>
          </w:rPr>
          <w:fldChar w:fldCharType="end"/>
        </w:r>
        <w:r>
          <w:t xml:space="preserve"> | </w:t>
        </w:r>
        <w:r>
          <w:rPr>
            <w:color w:val="7F7F7F" w:themeColor="background1" w:themeShade="7F"/>
            <w:spacing w:val="60"/>
          </w:rPr>
          <w:t>Page</w:t>
        </w:r>
      </w:p>
    </w:sdtContent>
  </w:sdt>
  <w:p w:rsidR="00C8629F" w:rsidRDefault="00C8629F">
    <w:pPr>
      <w:pStyle w:val="Footer"/>
    </w:pPr>
    <w:r>
      <w:t>UNIVERSITY OF SUNDERLAND | GEORGIOS AKRITIDIS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2B52" w:rsidRDefault="00B62B52" w:rsidP="00C8629F">
      <w:pPr>
        <w:spacing w:after="0" w:line="240" w:lineRule="auto"/>
      </w:pPr>
      <w:r>
        <w:separator/>
      </w:r>
    </w:p>
  </w:footnote>
  <w:footnote w:type="continuationSeparator" w:id="0">
    <w:p w:rsidR="00B62B52" w:rsidRDefault="00B62B52" w:rsidP="00C862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7A45BE"/>
    <w:multiLevelType w:val="hybridMultilevel"/>
    <w:tmpl w:val="BB0E82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0EE651D"/>
    <w:multiLevelType w:val="hybridMultilevel"/>
    <w:tmpl w:val="A7D87A58"/>
    <w:lvl w:ilvl="0" w:tplc="79A8AE42">
      <w:start w:val="1"/>
      <w:numFmt w:val="decimal"/>
      <w:lvlText w:val="%1."/>
      <w:lvlJc w:val="left"/>
      <w:pPr>
        <w:ind w:left="720" w:hanging="360"/>
      </w:pPr>
      <w:rPr>
        <w:rFonts w:asciiTheme="minorHAnsi" w:hAnsiTheme="minorHAnsi" w:cstheme="minorBidi" w:hint="default"/>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1A3"/>
    <w:rsid w:val="00054971"/>
    <w:rsid w:val="000D182E"/>
    <w:rsid w:val="00160301"/>
    <w:rsid w:val="002B01A3"/>
    <w:rsid w:val="003403E9"/>
    <w:rsid w:val="003C2D72"/>
    <w:rsid w:val="00650DC0"/>
    <w:rsid w:val="006D17F5"/>
    <w:rsid w:val="007C0326"/>
    <w:rsid w:val="0084148B"/>
    <w:rsid w:val="008420C5"/>
    <w:rsid w:val="008C185F"/>
    <w:rsid w:val="00A14E3A"/>
    <w:rsid w:val="00B546ED"/>
    <w:rsid w:val="00B62B52"/>
    <w:rsid w:val="00BB33D9"/>
    <w:rsid w:val="00C8629F"/>
    <w:rsid w:val="00CD007C"/>
    <w:rsid w:val="00D73E66"/>
    <w:rsid w:val="00EF6E9E"/>
    <w:rsid w:val="00FA30CA"/>
    <w:rsid w:val="00FF02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73D57E-82FA-4AAC-8DA3-8506FEAAC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B01A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B01A3"/>
    <w:rPr>
      <w:rFonts w:eastAsiaTheme="minorEastAsia"/>
      <w:lang w:val="en-US"/>
    </w:rPr>
  </w:style>
  <w:style w:type="paragraph" w:styleId="Header">
    <w:name w:val="header"/>
    <w:basedOn w:val="Normal"/>
    <w:link w:val="HeaderChar"/>
    <w:uiPriority w:val="99"/>
    <w:unhideWhenUsed/>
    <w:rsid w:val="00C862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629F"/>
  </w:style>
  <w:style w:type="paragraph" w:styleId="Footer">
    <w:name w:val="footer"/>
    <w:basedOn w:val="Normal"/>
    <w:link w:val="FooterChar"/>
    <w:uiPriority w:val="99"/>
    <w:unhideWhenUsed/>
    <w:rsid w:val="00C862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629F"/>
  </w:style>
  <w:style w:type="paragraph" w:styleId="ListParagraph">
    <w:name w:val="List Paragraph"/>
    <w:basedOn w:val="Normal"/>
    <w:uiPriority w:val="34"/>
    <w:qFormat/>
    <w:rsid w:val="0084148B"/>
    <w:pPr>
      <w:ind w:left="720"/>
      <w:contextualSpacing/>
    </w:pPr>
  </w:style>
  <w:style w:type="paragraph" w:styleId="EndnoteText">
    <w:name w:val="endnote text"/>
    <w:basedOn w:val="Normal"/>
    <w:link w:val="EndnoteTextChar"/>
    <w:uiPriority w:val="99"/>
    <w:semiHidden/>
    <w:unhideWhenUsed/>
    <w:rsid w:val="0005497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54971"/>
    <w:rPr>
      <w:sz w:val="20"/>
      <w:szCs w:val="20"/>
    </w:rPr>
  </w:style>
  <w:style w:type="character" w:styleId="EndnoteReference">
    <w:name w:val="endnote reference"/>
    <w:basedOn w:val="DefaultParagraphFont"/>
    <w:uiPriority w:val="99"/>
    <w:semiHidden/>
    <w:unhideWhenUsed/>
    <w:rsid w:val="000549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1579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2018-02-26T00:00:00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HarvardAnglia2008OfficeOnline.xsl" StyleName="Harvard - Anglia" Version="2008">
  <b:Source>
    <b:Tag>htt3</b:Tag>
    <b:SourceType>DocumentFromInternetSite</b:SourceType>
    <b:Guid>{7EE5B26C-5E1E-4BF4-9820-559A2B3F9FCE}</b:Guid>
    <b:URL>http://www.thepsi.ie/gns/inspection-enforcement/inspections/InspectorsAdvice/SOPs.aspx</b:URL>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C2C6DA3-765C-4C4E-A608-49F6B8E50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5</Pages>
  <Words>614</Words>
  <Characters>3503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DOSE POWDER MANUFACTURE AND STANDARD OPERATING PROCEDURES</vt:lpstr>
    </vt:vector>
  </TitlesOfParts>
  <Company/>
  <LinksUpToDate>false</LinksUpToDate>
  <CharactersWithSpaces>4109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DOSE POWDER MANUFACTURE AND STANDARD OPERATING PROCEDURES</dc:title>
  <dc:subject>pHARMACEUTICS LAB REPORT BY GEORGIOS AKRITIDIS</dc:subject>
  <dc:creator>STUDENT id;1241729468</dc:creator>
  <cp:keywords/>
  <dc:description/>
  <cp:lastModifiedBy>Γιωργος Ακριτιδης</cp:lastModifiedBy>
  <cp:revision>6</cp:revision>
  <dcterms:created xsi:type="dcterms:W3CDTF">2018-02-25T23:57:00Z</dcterms:created>
  <dcterms:modified xsi:type="dcterms:W3CDTF">2018-02-26T04:46:00Z</dcterms:modified>
</cp:coreProperties>
</file>