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61"/>
        <w:tblW w:w="10710" w:type="dxa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293808" w14:paraId="67EB345F" w14:textId="77777777" w:rsidTr="00293808">
        <w:trPr>
          <w:trHeight w:val="276"/>
        </w:trPr>
        <w:tc>
          <w:tcPr>
            <w:tcW w:w="3570" w:type="dxa"/>
          </w:tcPr>
          <w:p w14:paraId="3F82F5F3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Needs Work</w:t>
            </w:r>
          </w:p>
          <w:p w14:paraId="1E22396E" w14:textId="369D8DD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Score Point 0-</w:t>
            </w:r>
            <w:r w:rsidR="00B87566">
              <w:rPr>
                <w:rFonts w:ascii="Arial Black" w:hAnsi="Arial Black"/>
              </w:rPr>
              <w:t>14</w:t>
            </w:r>
          </w:p>
        </w:tc>
        <w:tc>
          <w:tcPr>
            <w:tcW w:w="3570" w:type="dxa"/>
          </w:tcPr>
          <w:p w14:paraId="2201F5BF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Rock Solid</w:t>
            </w:r>
          </w:p>
          <w:p w14:paraId="403D707C" w14:textId="600E1B28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 xml:space="preserve">Score Point </w:t>
            </w:r>
            <w:r w:rsidR="00B87566">
              <w:rPr>
                <w:rFonts w:ascii="Arial Black" w:hAnsi="Arial Black"/>
              </w:rPr>
              <w:t>15</w:t>
            </w:r>
            <w:r w:rsidRPr="00396E28">
              <w:rPr>
                <w:rFonts w:ascii="Arial Black" w:hAnsi="Arial Black"/>
              </w:rPr>
              <w:t>-</w:t>
            </w:r>
            <w:r w:rsidR="00B87566">
              <w:rPr>
                <w:rFonts w:ascii="Arial Black" w:hAnsi="Arial Black"/>
              </w:rPr>
              <w:t>22</w:t>
            </w:r>
          </w:p>
        </w:tc>
        <w:tc>
          <w:tcPr>
            <w:tcW w:w="3570" w:type="dxa"/>
          </w:tcPr>
          <w:p w14:paraId="1011258F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Exceptional</w:t>
            </w:r>
          </w:p>
          <w:p w14:paraId="7CDA90A0" w14:textId="39D70B25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 xml:space="preserve">Score Point </w:t>
            </w:r>
            <w:r w:rsidR="00B87566">
              <w:rPr>
                <w:rFonts w:ascii="Arial Black" w:hAnsi="Arial Black"/>
              </w:rPr>
              <w:t>23</w:t>
            </w:r>
            <w:r w:rsidRPr="00396E28">
              <w:rPr>
                <w:rFonts w:ascii="Arial Black" w:hAnsi="Arial Black"/>
              </w:rPr>
              <w:t>-2</w:t>
            </w:r>
            <w:r w:rsidR="00B87566">
              <w:rPr>
                <w:rFonts w:ascii="Arial Black" w:hAnsi="Arial Black"/>
              </w:rPr>
              <w:t>5</w:t>
            </w:r>
          </w:p>
        </w:tc>
      </w:tr>
      <w:tr w:rsidR="00293808" w14:paraId="6755EA90" w14:textId="77777777" w:rsidTr="00293808">
        <w:trPr>
          <w:trHeight w:val="276"/>
        </w:trPr>
        <w:tc>
          <w:tcPr>
            <w:tcW w:w="3570" w:type="dxa"/>
          </w:tcPr>
          <w:p w14:paraId="4545103B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bookmarkStart w:id="0" w:name="_GoBack"/>
            <w:bookmarkEnd w:id="0"/>
          </w:p>
        </w:tc>
        <w:tc>
          <w:tcPr>
            <w:tcW w:w="3570" w:type="dxa"/>
          </w:tcPr>
          <w:p w14:paraId="058C7A9C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Clear and reasonable position established</w:t>
            </w:r>
            <w:r w:rsidRPr="00396E28">
              <w:rPr>
                <w:rFonts w:ascii="Franklin Gothic Demi" w:hAnsi="Franklin Gothic Demi"/>
              </w:rPr>
              <w:t xml:space="preserve">: A clear stance on the topic is present, and is logical in nature. </w:t>
            </w:r>
          </w:p>
        </w:tc>
        <w:tc>
          <w:tcPr>
            <w:tcW w:w="3570" w:type="dxa"/>
          </w:tcPr>
          <w:p w14:paraId="7948579C" w14:textId="77777777" w:rsidR="00293808" w:rsidRDefault="00293808" w:rsidP="00293808"/>
        </w:tc>
      </w:tr>
      <w:tr w:rsidR="00293808" w14:paraId="06BBBA57" w14:textId="77777777" w:rsidTr="00293808">
        <w:trPr>
          <w:trHeight w:val="276"/>
        </w:trPr>
        <w:tc>
          <w:tcPr>
            <w:tcW w:w="3570" w:type="dxa"/>
          </w:tcPr>
          <w:p w14:paraId="66148FEB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3DE22302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Body paragraphs</w:t>
            </w:r>
            <w:r w:rsidRPr="00396E28">
              <w:rPr>
                <w:rFonts w:ascii="Franklin Gothic Demi" w:hAnsi="Franklin Gothic Demi"/>
              </w:rPr>
              <w:t xml:space="preserve">: Body paragraph examples are specific, thorough, equally weighted, and include a transition between ideas. </w:t>
            </w:r>
          </w:p>
        </w:tc>
        <w:tc>
          <w:tcPr>
            <w:tcW w:w="3570" w:type="dxa"/>
          </w:tcPr>
          <w:p w14:paraId="2765C823" w14:textId="77777777" w:rsidR="00293808" w:rsidRDefault="00293808" w:rsidP="00293808"/>
        </w:tc>
      </w:tr>
      <w:tr w:rsidR="00293808" w14:paraId="2CB590D2" w14:textId="77777777" w:rsidTr="00293808">
        <w:trPr>
          <w:trHeight w:val="276"/>
        </w:trPr>
        <w:tc>
          <w:tcPr>
            <w:tcW w:w="3570" w:type="dxa"/>
          </w:tcPr>
          <w:p w14:paraId="6AE843FD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6B853D70" w14:textId="77777777" w:rsidR="00293808" w:rsidRPr="00396E28" w:rsidRDefault="00293808" w:rsidP="00293808">
            <w:pPr>
              <w:rPr>
                <w:rFonts w:ascii="Franklin Gothic Demi" w:hAnsi="Franklin Gothic Demi"/>
                <w:highlight w:val="black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Syntax and diction</w:t>
            </w:r>
            <w:r w:rsidRPr="00396E28">
              <w:rPr>
                <w:rFonts w:ascii="Franklin Gothic Demi" w:hAnsi="Franklin Gothic Demi"/>
                <w:highlight w:val="black"/>
              </w:rPr>
              <w:t>:</w:t>
            </w:r>
            <w:r w:rsidRPr="00396E28">
              <w:rPr>
                <w:rFonts w:ascii="Franklin Gothic Demi" w:hAnsi="Franklin Gothic Demi"/>
              </w:rPr>
              <w:t xml:space="preserve"> Sentence variety and word choice reflect a persuasive tone and create a clear voice.  </w:t>
            </w:r>
          </w:p>
        </w:tc>
        <w:tc>
          <w:tcPr>
            <w:tcW w:w="3570" w:type="dxa"/>
          </w:tcPr>
          <w:p w14:paraId="7192EDB1" w14:textId="77777777" w:rsidR="00293808" w:rsidRDefault="00293808" w:rsidP="00293808"/>
        </w:tc>
      </w:tr>
      <w:tr w:rsidR="00293808" w14:paraId="6C8FD9E4" w14:textId="77777777" w:rsidTr="00293808">
        <w:trPr>
          <w:trHeight w:val="963"/>
        </w:trPr>
        <w:tc>
          <w:tcPr>
            <w:tcW w:w="3570" w:type="dxa"/>
          </w:tcPr>
          <w:p w14:paraId="4C8182F5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1F89D376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Conclusion</w:t>
            </w:r>
            <w:r w:rsidRPr="00396E28">
              <w:rPr>
                <w:rFonts w:ascii="Franklin Gothic Demi" w:hAnsi="Franklin Gothic Demi"/>
              </w:rPr>
              <w:t xml:space="preserve">: Conclusion includes an easily identifiable call-to-action that is specific to the topic and relevant to the audience. </w:t>
            </w:r>
          </w:p>
        </w:tc>
        <w:tc>
          <w:tcPr>
            <w:tcW w:w="3570" w:type="dxa"/>
          </w:tcPr>
          <w:p w14:paraId="05822346" w14:textId="77777777" w:rsidR="00293808" w:rsidRDefault="00293808" w:rsidP="00293808"/>
        </w:tc>
      </w:tr>
    </w:tbl>
    <w:p w14:paraId="4A666F10" w14:textId="2DB3B38E" w:rsidR="001452F0" w:rsidRDefault="005F4F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6C39" wp14:editId="1D8B9E9B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6483350" cy="425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25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8744B" w14:textId="77777777" w:rsidR="00C7360B" w:rsidRPr="00293808" w:rsidRDefault="00C7360B" w:rsidP="001452F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3808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Essay Rubric: Major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6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0;width:510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" fillcolor="black [3213]" stroked="f">
                <v:textbox>
                  <w:txbxContent>
                    <w:p w14:paraId="1668744B" w14:textId="77777777" w:rsidR="00C7360B" w:rsidRPr="00293808" w:rsidRDefault="00C7360B" w:rsidP="001452F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3808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Essay Rubric: Major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701"/>
        <w:tblW w:w="10710" w:type="dxa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293808" w:rsidRPr="00396E28" w14:paraId="37C4D47F" w14:textId="77777777" w:rsidTr="00293808">
        <w:trPr>
          <w:trHeight w:val="276"/>
        </w:trPr>
        <w:tc>
          <w:tcPr>
            <w:tcW w:w="3570" w:type="dxa"/>
          </w:tcPr>
          <w:p w14:paraId="3C8077C9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Needs Work</w:t>
            </w:r>
          </w:p>
          <w:p w14:paraId="27802F84" w14:textId="109A7D2C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Score Point 0-</w:t>
            </w:r>
            <w:r w:rsidR="00B87566">
              <w:rPr>
                <w:rFonts w:ascii="Arial Black" w:hAnsi="Arial Black"/>
              </w:rPr>
              <w:t>14</w:t>
            </w:r>
          </w:p>
        </w:tc>
        <w:tc>
          <w:tcPr>
            <w:tcW w:w="3570" w:type="dxa"/>
          </w:tcPr>
          <w:p w14:paraId="7BAB9817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Rock Solid</w:t>
            </w:r>
          </w:p>
          <w:p w14:paraId="00F6B2F4" w14:textId="13466813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 xml:space="preserve">Score Point </w:t>
            </w:r>
            <w:r w:rsidR="00B87566">
              <w:rPr>
                <w:rFonts w:ascii="Arial Black" w:hAnsi="Arial Black"/>
              </w:rPr>
              <w:t>15</w:t>
            </w:r>
            <w:r w:rsidRPr="00396E28">
              <w:rPr>
                <w:rFonts w:ascii="Arial Black" w:hAnsi="Arial Black"/>
              </w:rPr>
              <w:t>-</w:t>
            </w:r>
            <w:r w:rsidR="00B87566">
              <w:rPr>
                <w:rFonts w:ascii="Arial Black" w:hAnsi="Arial Black"/>
              </w:rPr>
              <w:t>22</w:t>
            </w:r>
          </w:p>
        </w:tc>
        <w:tc>
          <w:tcPr>
            <w:tcW w:w="3570" w:type="dxa"/>
          </w:tcPr>
          <w:p w14:paraId="133BF337" w14:textId="77777777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>Exceptional</w:t>
            </w:r>
          </w:p>
          <w:p w14:paraId="7DEE3DC6" w14:textId="6BC37016" w:rsidR="00293808" w:rsidRPr="00396E28" w:rsidRDefault="00293808" w:rsidP="00293808">
            <w:pPr>
              <w:jc w:val="center"/>
              <w:rPr>
                <w:rFonts w:ascii="Arial Black" w:hAnsi="Arial Black"/>
              </w:rPr>
            </w:pPr>
            <w:r w:rsidRPr="00396E28">
              <w:rPr>
                <w:rFonts w:ascii="Arial Black" w:hAnsi="Arial Black"/>
              </w:rPr>
              <w:t xml:space="preserve">Score Point </w:t>
            </w:r>
            <w:r w:rsidR="00B87566">
              <w:rPr>
                <w:rFonts w:ascii="Arial Black" w:hAnsi="Arial Black"/>
              </w:rPr>
              <w:t>23</w:t>
            </w:r>
            <w:r w:rsidRPr="00396E28">
              <w:rPr>
                <w:rFonts w:ascii="Arial Black" w:hAnsi="Arial Black"/>
              </w:rPr>
              <w:t>-2</w:t>
            </w:r>
            <w:r w:rsidR="0050280F">
              <w:rPr>
                <w:rFonts w:ascii="Arial Black" w:hAnsi="Arial Black"/>
              </w:rPr>
              <w:t>5</w:t>
            </w:r>
          </w:p>
        </w:tc>
      </w:tr>
      <w:tr w:rsidR="00293808" w14:paraId="4BA24F33" w14:textId="77777777" w:rsidTr="00293808">
        <w:trPr>
          <w:trHeight w:val="276"/>
        </w:trPr>
        <w:tc>
          <w:tcPr>
            <w:tcW w:w="3570" w:type="dxa"/>
          </w:tcPr>
          <w:p w14:paraId="1518DC3D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75C5CA4D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Clear and reasonable position established</w:t>
            </w:r>
            <w:r w:rsidRPr="00396E28">
              <w:rPr>
                <w:rFonts w:ascii="Franklin Gothic Demi" w:hAnsi="Franklin Gothic Demi"/>
              </w:rPr>
              <w:t xml:space="preserve">: A clear stance on the topic is present, and is logical in nature. </w:t>
            </w:r>
          </w:p>
        </w:tc>
        <w:tc>
          <w:tcPr>
            <w:tcW w:w="3570" w:type="dxa"/>
          </w:tcPr>
          <w:p w14:paraId="3FEEEA61" w14:textId="77777777" w:rsidR="00293808" w:rsidRDefault="00293808" w:rsidP="00293808"/>
        </w:tc>
      </w:tr>
      <w:tr w:rsidR="00293808" w14:paraId="339E3848" w14:textId="77777777" w:rsidTr="00293808">
        <w:trPr>
          <w:trHeight w:val="276"/>
        </w:trPr>
        <w:tc>
          <w:tcPr>
            <w:tcW w:w="3570" w:type="dxa"/>
          </w:tcPr>
          <w:p w14:paraId="2CC527B4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2290E581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Body paragraphs</w:t>
            </w:r>
            <w:r w:rsidRPr="00396E28">
              <w:rPr>
                <w:rFonts w:ascii="Franklin Gothic Demi" w:hAnsi="Franklin Gothic Demi"/>
              </w:rPr>
              <w:t xml:space="preserve">: Body paragraph examples are specific, thorough, equally weighted, and include a transition between ideas. </w:t>
            </w:r>
          </w:p>
        </w:tc>
        <w:tc>
          <w:tcPr>
            <w:tcW w:w="3570" w:type="dxa"/>
          </w:tcPr>
          <w:p w14:paraId="2BC159C9" w14:textId="77777777" w:rsidR="00293808" w:rsidRDefault="00293808" w:rsidP="00293808"/>
        </w:tc>
      </w:tr>
      <w:tr w:rsidR="00293808" w14:paraId="4A731909" w14:textId="77777777" w:rsidTr="00293808">
        <w:trPr>
          <w:trHeight w:val="276"/>
        </w:trPr>
        <w:tc>
          <w:tcPr>
            <w:tcW w:w="3570" w:type="dxa"/>
          </w:tcPr>
          <w:p w14:paraId="57E1E7D7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1087FA1A" w14:textId="77777777" w:rsidR="00293808" w:rsidRPr="00396E28" w:rsidRDefault="00293808" w:rsidP="00293808">
            <w:pPr>
              <w:rPr>
                <w:rFonts w:ascii="Franklin Gothic Demi" w:hAnsi="Franklin Gothic Demi"/>
                <w:highlight w:val="black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Syntax and diction</w:t>
            </w:r>
            <w:r w:rsidRPr="00396E28">
              <w:rPr>
                <w:rFonts w:ascii="Franklin Gothic Demi" w:hAnsi="Franklin Gothic Demi"/>
                <w:highlight w:val="black"/>
              </w:rPr>
              <w:t>:</w:t>
            </w:r>
            <w:r w:rsidRPr="00396E28">
              <w:rPr>
                <w:rFonts w:ascii="Franklin Gothic Demi" w:hAnsi="Franklin Gothic Demi"/>
              </w:rPr>
              <w:t xml:space="preserve"> Sentence variety and word choice reflect a persuasive tone and create a clear voice.  </w:t>
            </w:r>
          </w:p>
        </w:tc>
        <w:tc>
          <w:tcPr>
            <w:tcW w:w="3570" w:type="dxa"/>
          </w:tcPr>
          <w:p w14:paraId="4B926680" w14:textId="77777777" w:rsidR="00293808" w:rsidRDefault="00293808" w:rsidP="00293808"/>
        </w:tc>
      </w:tr>
      <w:tr w:rsidR="00293808" w14:paraId="4344D602" w14:textId="77777777" w:rsidTr="00293808">
        <w:trPr>
          <w:trHeight w:val="963"/>
        </w:trPr>
        <w:tc>
          <w:tcPr>
            <w:tcW w:w="3570" w:type="dxa"/>
          </w:tcPr>
          <w:p w14:paraId="3C94549F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</w:p>
        </w:tc>
        <w:tc>
          <w:tcPr>
            <w:tcW w:w="3570" w:type="dxa"/>
          </w:tcPr>
          <w:p w14:paraId="217F3640" w14:textId="77777777" w:rsidR="00293808" w:rsidRPr="00396E28" w:rsidRDefault="00293808" w:rsidP="00293808">
            <w:pPr>
              <w:rPr>
                <w:rFonts w:ascii="Franklin Gothic Demi" w:hAnsi="Franklin Gothic Demi"/>
              </w:rPr>
            </w:pPr>
            <w:r w:rsidRPr="00396E28">
              <w:rPr>
                <w:rFonts w:ascii="Franklin Gothic Demi" w:hAnsi="Franklin Gothic Demi"/>
                <w:color w:val="FFFFFF" w:themeColor="background1"/>
                <w:highlight w:val="black"/>
              </w:rPr>
              <w:t>Conclusion</w:t>
            </w:r>
            <w:r w:rsidRPr="00396E28">
              <w:rPr>
                <w:rFonts w:ascii="Franklin Gothic Demi" w:hAnsi="Franklin Gothic Demi"/>
              </w:rPr>
              <w:t xml:space="preserve">: Conclusion includes an easily identifiable call-to-action that is specific to the topic and relevant to the audience. </w:t>
            </w:r>
          </w:p>
        </w:tc>
        <w:tc>
          <w:tcPr>
            <w:tcW w:w="3570" w:type="dxa"/>
          </w:tcPr>
          <w:p w14:paraId="2850EA9A" w14:textId="77777777" w:rsidR="00293808" w:rsidRDefault="00293808" w:rsidP="00293808"/>
        </w:tc>
      </w:tr>
    </w:tbl>
    <w:p w14:paraId="7CA7F0B0" w14:textId="033B24C1" w:rsidR="00293808" w:rsidRDefault="00293808" w:rsidP="00293808"/>
    <w:p w14:paraId="51C97FA8" w14:textId="47881474" w:rsidR="00293808" w:rsidRPr="005F4F3D" w:rsidRDefault="00293808" w:rsidP="00293808"/>
    <w:p w14:paraId="3A332347" w14:textId="4A857F88" w:rsidR="00293808" w:rsidRPr="005F4F3D" w:rsidRDefault="00293808" w:rsidP="002938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02B55" wp14:editId="21C81053">
                <wp:simplePos x="0" y="0"/>
                <wp:positionH relativeFrom="column">
                  <wp:posOffset>177800</wp:posOffset>
                </wp:positionH>
                <wp:positionV relativeFrom="paragraph">
                  <wp:posOffset>245745</wp:posOffset>
                </wp:positionV>
                <wp:extent cx="6483350" cy="425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25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7493" w14:textId="77777777" w:rsidR="00293808" w:rsidRPr="00293808" w:rsidRDefault="00293808" w:rsidP="00293808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3808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Essay Rubric: Major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2B55" id="Text Box 4" o:spid="_x0000_s1027" type="#_x0000_t202" style="position:absolute;margin-left:14pt;margin-top:19.35pt;width:510.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" fillcolor="black [3213]" stroked="f">
                <v:textbox>
                  <w:txbxContent>
                    <w:p w14:paraId="12B57493" w14:textId="77777777" w:rsidR="00293808" w:rsidRPr="00293808" w:rsidRDefault="00293808" w:rsidP="00293808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3808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Essay Rubric: Major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D2D10" w14:textId="77777777" w:rsidR="00293808" w:rsidRPr="005F4F3D" w:rsidRDefault="00293808" w:rsidP="00293808"/>
    <w:p w14:paraId="3E1C423E" w14:textId="77777777" w:rsidR="00293808" w:rsidRPr="005F4F3D" w:rsidRDefault="00293808" w:rsidP="00293808"/>
    <w:p w14:paraId="0B49D135" w14:textId="061AC657" w:rsidR="00293808" w:rsidRPr="005F4F3D" w:rsidRDefault="00293808" w:rsidP="00293808"/>
    <w:p w14:paraId="29EB82F8" w14:textId="77777777" w:rsidR="00293808" w:rsidRPr="005F4F3D" w:rsidRDefault="00293808" w:rsidP="00293808"/>
    <w:p w14:paraId="0B4BA83D" w14:textId="06698EA4" w:rsidR="005F4F3D" w:rsidRPr="005F4F3D" w:rsidRDefault="005F4F3D" w:rsidP="005F4F3D"/>
    <w:p w14:paraId="4253378A" w14:textId="77777777" w:rsidR="005F4F3D" w:rsidRPr="005F4F3D" w:rsidRDefault="005F4F3D" w:rsidP="005F4F3D"/>
    <w:p w14:paraId="7EA5C1BE" w14:textId="77777777" w:rsidR="005F4F3D" w:rsidRPr="005F4F3D" w:rsidRDefault="005F4F3D" w:rsidP="005F4F3D"/>
    <w:p w14:paraId="702B3BE6" w14:textId="77777777" w:rsidR="005F4F3D" w:rsidRPr="005F4F3D" w:rsidRDefault="005F4F3D" w:rsidP="005F4F3D"/>
    <w:p w14:paraId="0913CC55" w14:textId="77777777" w:rsidR="005F4F3D" w:rsidRPr="005F4F3D" w:rsidRDefault="005F4F3D" w:rsidP="005F4F3D"/>
    <w:p w14:paraId="2D026684" w14:textId="77777777" w:rsidR="005F4F3D" w:rsidRPr="005F4F3D" w:rsidRDefault="005F4F3D" w:rsidP="005F4F3D"/>
    <w:p w14:paraId="013ED166" w14:textId="77777777" w:rsidR="005F4F3D" w:rsidRPr="005F4F3D" w:rsidRDefault="005F4F3D" w:rsidP="005F4F3D"/>
    <w:p w14:paraId="67835EDC" w14:textId="77777777" w:rsidR="005F4F3D" w:rsidRPr="005F4F3D" w:rsidRDefault="005F4F3D" w:rsidP="005F4F3D"/>
    <w:p w14:paraId="2E53EF03" w14:textId="77777777" w:rsidR="005F4F3D" w:rsidRPr="005F4F3D" w:rsidRDefault="005F4F3D" w:rsidP="005F4F3D"/>
    <w:p w14:paraId="0C9BEDB2" w14:textId="77777777" w:rsidR="005F4F3D" w:rsidRPr="005F4F3D" w:rsidRDefault="005F4F3D" w:rsidP="005F4F3D"/>
    <w:p w14:paraId="26120241" w14:textId="77777777" w:rsidR="005F4F3D" w:rsidRPr="005F4F3D" w:rsidRDefault="005F4F3D" w:rsidP="005F4F3D"/>
    <w:p w14:paraId="78833605" w14:textId="77777777" w:rsidR="005F4F3D" w:rsidRPr="005F4F3D" w:rsidRDefault="005F4F3D" w:rsidP="005F4F3D"/>
    <w:p w14:paraId="3F2B11B0" w14:textId="77777777" w:rsidR="005F4F3D" w:rsidRPr="005F4F3D" w:rsidRDefault="005F4F3D" w:rsidP="005F4F3D"/>
    <w:p w14:paraId="5D7D1AA1" w14:textId="77777777" w:rsidR="005F4F3D" w:rsidRPr="005F4F3D" w:rsidRDefault="005F4F3D" w:rsidP="005F4F3D"/>
    <w:p w14:paraId="1F2397C6" w14:textId="77777777" w:rsidR="005F4F3D" w:rsidRPr="005F4F3D" w:rsidRDefault="005F4F3D" w:rsidP="005F4F3D"/>
    <w:p w14:paraId="0E3605CB" w14:textId="3B40C504" w:rsidR="005F4F3D" w:rsidRDefault="005F4F3D" w:rsidP="005F4F3D">
      <w:r>
        <w:tab/>
      </w:r>
    </w:p>
    <w:p w14:paraId="25D7FC28" w14:textId="33825455" w:rsidR="00505083" w:rsidRPr="005F4F3D" w:rsidRDefault="00505083" w:rsidP="005F4F3D">
      <w:pPr>
        <w:tabs>
          <w:tab w:val="left" w:pos="920"/>
        </w:tabs>
      </w:pPr>
    </w:p>
    <w:sectPr w:rsidR="00505083" w:rsidRPr="005F4F3D" w:rsidSect="005F4F3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0"/>
    <w:rsid w:val="00032B4E"/>
    <w:rsid w:val="001452F0"/>
    <w:rsid w:val="001C1A32"/>
    <w:rsid w:val="00293808"/>
    <w:rsid w:val="00350204"/>
    <w:rsid w:val="00360ECF"/>
    <w:rsid w:val="00396E28"/>
    <w:rsid w:val="0048000D"/>
    <w:rsid w:val="0050280F"/>
    <w:rsid w:val="00505083"/>
    <w:rsid w:val="00531781"/>
    <w:rsid w:val="005D20DB"/>
    <w:rsid w:val="005F4F3D"/>
    <w:rsid w:val="00727AEB"/>
    <w:rsid w:val="00B87566"/>
    <w:rsid w:val="00C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B83A"/>
  <w14:defaultImageDpi w14:val="300"/>
  <w15:docId w15:val="{02D67204-AA42-4411-B110-76A580A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7CF3-899C-4427-8134-8DDBFB18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Daigle</dc:creator>
  <cp:keywords/>
  <dc:description/>
  <cp:lastModifiedBy>Swanson, Katherine</cp:lastModifiedBy>
  <cp:revision>3</cp:revision>
  <cp:lastPrinted>2018-02-15T13:20:00Z</cp:lastPrinted>
  <dcterms:created xsi:type="dcterms:W3CDTF">2018-02-14T21:08:00Z</dcterms:created>
  <dcterms:modified xsi:type="dcterms:W3CDTF">2018-02-15T16:43:00Z</dcterms:modified>
</cp:coreProperties>
</file>