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B02AA" w14:textId="77777777" w:rsidR="00667C0D" w:rsidRDefault="00667C0D" w:rsidP="00667C0D">
      <w:pPr>
        <w:pStyle w:val="NormalWeb"/>
      </w:pPr>
      <w:r>
        <w:rPr>
          <w:rFonts w:ascii="Cambria" w:hAnsi="Cambria"/>
        </w:rPr>
        <w:t>Student's Name:</w:t>
      </w:r>
      <w:r>
        <w:rPr>
          <w:rFonts w:ascii="Cambria" w:hAnsi="Cambria"/>
        </w:rPr>
        <w:br/>
        <w:t>Date:</w:t>
      </w:r>
      <w:r>
        <w:rPr>
          <w:rFonts w:ascii="Cambria" w:hAnsi="Cambria"/>
        </w:rPr>
        <w:br/>
        <w:t xml:space="preserve">Seminar Speaker and Seminar Title: </w:t>
      </w:r>
    </w:p>
    <w:p w14:paraId="2351DE78" w14:textId="77777777" w:rsidR="00667C0D" w:rsidRDefault="00667C0D" w:rsidP="00667C0D">
      <w:pPr>
        <w:pStyle w:val="NormalWeb"/>
      </w:pPr>
      <w:r>
        <w:rPr>
          <w:rFonts w:ascii="TimesNewRomanPS" w:hAnsi="TimesNewRomanPS"/>
          <w:b/>
          <w:bCs/>
          <w:color w:val="333333"/>
          <w:sz w:val="28"/>
          <w:szCs w:val="28"/>
        </w:rPr>
        <w:t xml:space="preserve">Background </w:t>
      </w:r>
    </w:p>
    <w:p w14:paraId="16D0699A" w14:textId="77777777" w:rsidR="00667C0D" w:rsidRDefault="00667C0D" w:rsidP="00667C0D">
      <w:pPr>
        <w:pStyle w:val="NormalWeb"/>
      </w:pPr>
      <w:r>
        <w:rPr>
          <w:rFonts w:ascii="TimesNewRomanPSMT" w:hAnsi="TimesNewRomanPSMT" w:cs="TimesNewRomanPSMT"/>
          <w:color w:val="333333"/>
          <w:sz w:val="20"/>
          <w:szCs w:val="20"/>
        </w:rPr>
        <w:t xml:space="preserve">Larval features such as the apical organ, apical ciliary tuft, and ciliated bands often complicate the evaluation of hypotheses regarding the origin of the adult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 nervous system. Understanding how neurogenic domains form within the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 head and larval apical organ requires expression data from animals that exhibit aspects of both centralized and diffuse nervous systems at different life history stages. Here, we describe the expression of eight neural-related genes during the larval development of the brachiopod, </w:t>
      </w:r>
      <w:proofErr w:type="spellStart"/>
      <w:r>
        <w:rPr>
          <w:rFonts w:ascii="TimesNewRomanPS" w:hAnsi="TimesNewRomanPS"/>
          <w:i/>
          <w:iCs/>
          <w:color w:val="333333"/>
          <w:sz w:val="20"/>
          <w:szCs w:val="20"/>
        </w:rPr>
        <w:t>Terebratalia</w:t>
      </w:r>
      <w:proofErr w:type="spellEnd"/>
      <w:r>
        <w:rPr>
          <w:rFonts w:ascii="TimesNewRomanPS" w:hAnsi="TimesNewRomanPS"/>
          <w:i/>
          <w:iCs/>
          <w:color w:val="333333"/>
          <w:sz w:val="20"/>
          <w:szCs w:val="20"/>
        </w:rPr>
        <w:t xml:space="preserve"> </w:t>
      </w:r>
      <w:proofErr w:type="spellStart"/>
      <w:r>
        <w:rPr>
          <w:rFonts w:ascii="TimesNewRomanPS" w:hAnsi="TimesNewRomanPS"/>
          <w:i/>
          <w:iCs/>
          <w:color w:val="333333"/>
          <w:sz w:val="20"/>
          <w:szCs w:val="20"/>
        </w:rPr>
        <w:t>transversa</w:t>
      </w:r>
      <w:proofErr w:type="spellEnd"/>
      <w:r>
        <w:rPr>
          <w:rFonts w:ascii="TimesNewRomanPSMT" w:hAnsi="TimesNewRomanPSMT" w:cs="TimesNewRomanPSMT"/>
          <w:color w:val="333333"/>
          <w:sz w:val="20"/>
          <w:szCs w:val="20"/>
        </w:rPr>
        <w:t xml:space="preserve">. </w:t>
      </w:r>
    </w:p>
    <w:p w14:paraId="547001C6" w14:textId="77777777" w:rsidR="00667C0D" w:rsidRDefault="00667C0D" w:rsidP="00667C0D">
      <w:pPr>
        <w:pStyle w:val="NormalWeb"/>
      </w:pPr>
      <w:r>
        <w:rPr>
          <w:rFonts w:ascii="TimesNewRomanPS" w:hAnsi="TimesNewRomanPS"/>
          <w:b/>
          <w:bCs/>
          <w:color w:val="333333"/>
          <w:sz w:val="28"/>
          <w:szCs w:val="28"/>
        </w:rPr>
        <w:t xml:space="preserve">Results </w:t>
      </w:r>
      <w:bookmarkStart w:id="0" w:name="_GoBack"/>
      <w:bookmarkEnd w:id="0"/>
    </w:p>
    <w:p w14:paraId="6800F80C" w14:textId="77777777" w:rsidR="00667C0D" w:rsidRDefault="00667C0D" w:rsidP="00667C0D">
      <w:pPr>
        <w:pStyle w:val="NormalWeb"/>
      </w:pPr>
      <w:r>
        <w:rPr>
          <w:rFonts w:ascii="TimesNewRomanPSMT" w:hAnsi="TimesNewRomanPSMT" w:cs="TimesNewRomanPSMT"/>
          <w:color w:val="333333"/>
          <w:sz w:val="20"/>
          <w:szCs w:val="20"/>
        </w:rPr>
        <w:t xml:space="preserve">Radially symmetric gastrulae broadly express </w:t>
      </w:r>
      <w:r>
        <w:rPr>
          <w:rFonts w:ascii="TimesNewRomanPS" w:hAnsi="TimesNewRomanPS"/>
          <w:i/>
          <w:iCs/>
          <w:color w:val="333333"/>
          <w:sz w:val="20"/>
          <w:szCs w:val="20"/>
        </w:rPr>
        <w:t xml:space="preserve">Tt-Six3/6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Tt-</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in the animal cap ectoderm. </w:t>
      </w:r>
      <w:r>
        <w:rPr>
          <w:rFonts w:ascii="TimesNewRomanPS" w:hAnsi="TimesNewRomanPS"/>
          <w:i/>
          <w:iCs/>
          <w:color w:val="333333"/>
          <w:sz w:val="20"/>
          <w:szCs w:val="20"/>
        </w:rPr>
        <w:t xml:space="preserve">Tt-NK2.1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 xml:space="preserve">Tt- </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are restricted to a central subset of these cells, and </w:t>
      </w:r>
      <w:r>
        <w:rPr>
          <w:rFonts w:ascii="TimesNewRomanPS" w:hAnsi="TimesNewRomanPS"/>
          <w:i/>
          <w:iCs/>
          <w:color w:val="333333"/>
          <w:sz w:val="20"/>
          <w:szCs w:val="20"/>
        </w:rPr>
        <w:t xml:space="preserve">Tt-fez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 xml:space="preserve">Tt-FoxQ2 </w:t>
      </w:r>
      <w:r>
        <w:rPr>
          <w:rFonts w:ascii="TimesNewRomanPSMT" w:hAnsi="TimesNewRomanPSMT" w:cs="TimesNewRomanPSMT"/>
          <w:color w:val="333333"/>
          <w:sz w:val="20"/>
          <w:szCs w:val="20"/>
        </w:rPr>
        <w:t xml:space="preserve">expression domains are already asymmetric at this stage. As gastrulation proceeds, the spatial expression of these genes is split between two anterior ectodermal domains, a more dorsal region comprised of </w:t>
      </w:r>
      <w:r>
        <w:rPr>
          <w:rFonts w:ascii="TimesNewRomanPS" w:hAnsi="TimesNewRomanPS"/>
          <w:i/>
          <w:iCs/>
          <w:color w:val="333333"/>
          <w:sz w:val="20"/>
          <w:szCs w:val="20"/>
        </w:rPr>
        <w:t>Tt-Six3/6, Tt-fez, Tt-FoxQ2</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r>
        <w:rPr>
          <w:rFonts w:ascii="TimesNewRomanPSMT" w:hAnsi="TimesNewRomanPSMT" w:cs="TimesNewRomanPSMT"/>
          <w:color w:val="333333"/>
          <w:sz w:val="20"/>
          <w:szCs w:val="20"/>
        </w:rPr>
        <w:t>expression</w:t>
      </w:r>
      <w:proofErr w:type="spellEnd"/>
      <w:r>
        <w:rPr>
          <w:rFonts w:ascii="TimesNewRomanPSMT" w:hAnsi="TimesNewRomanPSMT" w:cs="TimesNewRomanPSMT"/>
          <w:color w:val="333333"/>
          <w:sz w:val="20"/>
          <w:szCs w:val="20"/>
        </w:rPr>
        <w:t xml:space="preserve"> domains, and an anterior ventral domain demarcated by </w:t>
      </w:r>
      <w:r>
        <w:rPr>
          <w:rFonts w:ascii="TimesNewRomanPS" w:hAnsi="TimesNewRomanPS"/>
          <w:i/>
          <w:iCs/>
          <w:color w:val="333333"/>
          <w:sz w:val="20"/>
          <w:szCs w:val="20"/>
        </w:rPr>
        <w:t>Tt-</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 xml:space="preserve">Tt-NK2.1 </w:t>
      </w:r>
      <w:r>
        <w:rPr>
          <w:rFonts w:ascii="TimesNewRomanPSMT" w:hAnsi="TimesNewRomanPSMT" w:cs="TimesNewRomanPSMT"/>
          <w:color w:val="333333"/>
          <w:sz w:val="20"/>
          <w:szCs w:val="20"/>
        </w:rPr>
        <w:t xml:space="preserve">expression. More posteriorly, the latter domains are bordered by </w:t>
      </w:r>
      <w:r>
        <w:rPr>
          <w:rFonts w:ascii="TimesNewRomanPS" w:hAnsi="TimesNewRomanPS"/>
          <w:i/>
          <w:iCs/>
          <w:color w:val="333333"/>
          <w:sz w:val="20"/>
          <w:szCs w:val="20"/>
        </w:rPr>
        <w:t>Tt-</w:t>
      </w:r>
      <w:proofErr w:type="spellStart"/>
      <w:r>
        <w:rPr>
          <w:rFonts w:ascii="TimesNewRomanPS" w:hAnsi="TimesNewRomanPS"/>
          <w:i/>
          <w:iCs/>
          <w:color w:val="333333"/>
          <w:sz w:val="20"/>
          <w:szCs w:val="20"/>
        </w:rPr>
        <w:t>FoxG</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expression in the region of the transverse ciliated band. </w:t>
      </w:r>
      <w:r>
        <w:rPr>
          <w:rFonts w:ascii="TimesNewRomanPS" w:hAnsi="TimesNewRomanPS"/>
          <w:i/>
          <w:iCs/>
          <w:color w:val="333333"/>
          <w:sz w:val="20"/>
          <w:szCs w:val="20"/>
        </w:rPr>
        <w:t>Tt-</w:t>
      </w:r>
      <w:proofErr w:type="spellStart"/>
      <w:r>
        <w:rPr>
          <w:rFonts w:ascii="TimesNewRomanPS" w:hAnsi="TimesNewRomanPS"/>
          <w:i/>
          <w:iCs/>
          <w:color w:val="333333"/>
          <w:sz w:val="20"/>
          <w:szCs w:val="20"/>
        </w:rPr>
        <w:t>synaptotagmin</w:t>
      </w:r>
      <w:proofErr w:type="spellEnd"/>
      <w:r>
        <w:rPr>
          <w:rFonts w:ascii="TimesNewRomanPS" w:hAnsi="TimesNewRomanPS"/>
          <w:i/>
          <w:iCs/>
          <w:color w:val="333333"/>
          <w:sz w:val="20"/>
          <w:szCs w:val="20"/>
        </w:rPr>
        <w:t xml:space="preserve"> 1 </w:t>
      </w:r>
      <w:r>
        <w:rPr>
          <w:rFonts w:ascii="TimesNewRomanPSMT" w:hAnsi="TimesNewRomanPSMT" w:cs="TimesNewRomanPSMT"/>
          <w:color w:val="333333"/>
          <w:sz w:val="20"/>
          <w:szCs w:val="20"/>
        </w:rPr>
        <w:t xml:space="preserve">is expressed throughout the anterior neural ectoderm. All genes are expressed late into larval development. The </w:t>
      </w:r>
      <w:proofErr w:type="spellStart"/>
      <w:r>
        <w:rPr>
          <w:rFonts w:ascii="TimesNewRomanPSMT" w:hAnsi="TimesNewRomanPSMT" w:cs="TimesNewRomanPSMT"/>
          <w:color w:val="333333"/>
          <w:sz w:val="20"/>
          <w:szCs w:val="20"/>
        </w:rPr>
        <w:t>basiepithelial</w:t>
      </w:r>
      <w:proofErr w:type="spellEnd"/>
      <w:r>
        <w:rPr>
          <w:rFonts w:ascii="TimesNewRomanPSMT" w:hAnsi="TimesNewRomanPSMT" w:cs="TimesNewRomanPSMT"/>
          <w:color w:val="333333"/>
          <w:sz w:val="20"/>
          <w:szCs w:val="20"/>
        </w:rPr>
        <w:t xml:space="preserve"> larval nervous system includes three neurogenic domains comprised of the more dorsal apical organ and a ventral cell cluster in the apical lobe as well as a mid-ventral band of neurons in the mantle lobe.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is the only gene expressed in numerous flask-shaped cells of the apical organ and in a subset of neurons in the mantle lobe. </w:t>
      </w:r>
    </w:p>
    <w:p w14:paraId="0838CC83" w14:textId="77777777" w:rsidR="00667C0D" w:rsidRDefault="00667C0D" w:rsidP="00667C0D">
      <w:pPr>
        <w:pStyle w:val="NormalWeb"/>
      </w:pPr>
      <w:r>
        <w:rPr>
          <w:rFonts w:ascii="TimesNewRomanPS" w:hAnsi="TimesNewRomanPS"/>
          <w:b/>
          <w:bCs/>
          <w:color w:val="333333"/>
          <w:sz w:val="28"/>
          <w:szCs w:val="28"/>
        </w:rPr>
        <w:t xml:space="preserve">Conclusions </w:t>
      </w:r>
    </w:p>
    <w:p w14:paraId="060A8380" w14:textId="77777777" w:rsidR="00667C0D" w:rsidRDefault="00667C0D" w:rsidP="00667C0D">
      <w:pPr>
        <w:pStyle w:val="NormalWeb"/>
      </w:pPr>
      <w:r>
        <w:rPr>
          <w:rFonts w:ascii="TimesNewRomanPSMT" w:hAnsi="TimesNewRomanPSMT" w:cs="TimesNewRomanPSMT"/>
          <w:color w:val="333333"/>
          <w:sz w:val="20"/>
          <w:szCs w:val="20"/>
        </w:rPr>
        <w:t xml:space="preserve">Our expression data for </w:t>
      </w:r>
      <w:r>
        <w:rPr>
          <w:rFonts w:ascii="TimesNewRomanPS" w:hAnsi="TimesNewRomanPS"/>
          <w:i/>
          <w:iCs/>
          <w:color w:val="333333"/>
          <w:sz w:val="20"/>
          <w:szCs w:val="20"/>
        </w:rPr>
        <w:t>Tt-Six3/6, Tt-FoxQ2</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confirm some aspects of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-wide conservation of spatial partitioning within anterior neurogenic domains and also suggest a common origin for central </w:t>
      </w:r>
      <w:proofErr w:type="spellStart"/>
      <w:r>
        <w:rPr>
          <w:rFonts w:ascii="TimesNewRomanPS" w:hAnsi="TimesNewRomanPS"/>
          <w:i/>
          <w:iCs/>
          <w:color w:val="333333"/>
          <w:sz w:val="20"/>
          <w:szCs w:val="20"/>
        </w:rPr>
        <w:t>otp</w:t>
      </w:r>
      <w:proofErr w:type="spellEnd"/>
      <w:r>
        <w:rPr>
          <w:rFonts w:ascii="TimesNewRomanPSMT" w:hAnsi="TimesNewRomanPSMT" w:cs="TimesNewRomanPSMT"/>
          <w:color w:val="333333"/>
          <w:sz w:val="20"/>
          <w:szCs w:val="20"/>
        </w:rPr>
        <w:t xml:space="preserve">-positive cell types within the larval apical organs of </w:t>
      </w:r>
      <w:proofErr w:type="spellStart"/>
      <w:r>
        <w:rPr>
          <w:rFonts w:ascii="TimesNewRomanPSMT" w:hAnsi="TimesNewRomanPSMT" w:cs="TimesNewRomanPSMT"/>
          <w:color w:val="333333"/>
          <w:sz w:val="20"/>
          <w:szCs w:val="20"/>
        </w:rPr>
        <w:t>spiralians</w:t>
      </w:r>
      <w:proofErr w:type="spellEnd"/>
      <w:r>
        <w:rPr>
          <w:rFonts w:ascii="TimesNewRomanPSMT" w:hAnsi="TimesNewRomanPSMT" w:cs="TimesNewRomanPSMT"/>
          <w:color w:val="333333"/>
          <w:sz w:val="20"/>
          <w:szCs w:val="20"/>
        </w:rPr>
        <w:t xml:space="preserve">. However, the field of sensory neurons within the larval apical organ of </w:t>
      </w:r>
      <w:proofErr w:type="spellStart"/>
      <w:r>
        <w:rPr>
          <w:rFonts w:ascii="TimesNewRomanPS" w:hAnsi="TimesNewRomanPS"/>
          <w:i/>
          <w:iCs/>
          <w:color w:val="333333"/>
          <w:sz w:val="20"/>
          <w:szCs w:val="20"/>
        </w:rPr>
        <w:t>Terebratalia</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is broader and composed of more cells relative to those of other </w:t>
      </w:r>
      <w:proofErr w:type="spellStart"/>
      <w:r>
        <w:rPr>
          <w:rFonts w:ascii="TimesNewRomanPSMT" w:hAnsi="TimesNewRomanPSMT" w:cs="TimesNewRomanPSMT"/>
          <w:color w:val="333333"/>
          <w:sz w:val="20"/>
          <w:szCs w:val="20"/>
        </w:rPr>
        <w:t>spiralian</w:t>
      </w:r>
      <w:proofErr w:type="spellEnd"/>
      <w:r>
        <w:rPr>
          <w:rFonts w:ascii="TimesNewRomanPSMT" w:hAnsi="TimesNewRomanPSMT" w:cs="TimesNewRomanPSMT"/>
          <w:color w:val="333333"/>
          <w:sz w:val="20"/>
          <w:szCs w:val="20"/>
        </w:rPr>
        <w:t xml:space="preserve"> larvae. These cellular differences are mirrored in the broader spatial and temporal expression patterns of </w:t>
      </w:r>
      <w:r>
        <w:rPr>
          <w:rFonts w:ascii="TimesNewRomanPS" w:hAnsi="TimesNewRomanPS"/>
          <w:i/>
          <w:iCs/>
          <w:color w:val="333333"/>
          <w:sz w:val="20"/>
          <w:szCs w:val="20"/>
        </w:rPr>
        <w:t xml:space="preserve">Tt-FoxQ2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proofErr w:type="spellEnd"/>
      <w:r>
        <w:rPr>
          <w:rFonts w:ascii="TimesNewRomanPSMT" w:hAnsi="TimesNewRomanPSMT" w:cs="TimesNewRomanPSMT"/>
          <w:color w:val="333333"/>
          <w:sz w:val="20"/>
          <w:szCs w:val="20"/>
        </w:rPr>
        <w:t xml:space="preserve">. Corresponding differences in the expression of </w:t>
      </w:r>
      <w:r>
        <w:rPr>
          <w:rFonts w:ascii="TimesNewRomanPS" w:hAnsi="TimesNewRomanPS"/>
          <w:i/>
          <w:iCs/>
          <w:color w:val="333333"/>
          <w:sz w:val="20"/>
          <w:szCs w:val="20"/>
        </w:rPr>
        <w:t>Tt-</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Tt-NK2.1</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Tt-</w:t>
      </w:r>
      <w:proofErr w:type="spellStart"/>
      <w:r>
        <w:rPr>
          <w:rFonts w:ascii="TimesNewRomanPS" w:hAnsi="TimesNewRomanPS"/>
          <w:i/>
          <w:iCs/>
          <w:color w:val="333333"/>
          <w:sz w:val="20"/>
          <w:szCs w:val="20"/>
        </w:rPr>
        <w:t>FoxG</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are also observed relative to their respective domains within the cerebral ganglia of </w:t>
      </w:r>
      <w:proofErr w:type="spellStart"/>
      <w:r>
        <w:rPr>
          <w:rFonts w:ascii="TimesNewRomanPSMT" w:hAnsi="TimesNewRomanPSMT" w:cs="TimesNewRomanPSMT"/>
          <w:color w:val="333333"/>
          <w:sz w:val="20"/>
          <w:szCs w:val="20"/>
        </w:rPr>
        <w:t>spiralians</w:t>
      </w:r>
      <w:proofErr w:type="spellEnd"/>
      <w:r>
        <w:rPr>
          <w:rFonts w:ascii="TimesNewRomanPSMT" w:hAnsi="TimesNewRomanPSMT" w:cs="TimesNewRomanPSMT"/>
          <w:color w:val="333333"/>
          <w:sz w:val="20"/>
          <w:szCs w:val="20"/>
        </w:rPr>
        <w:t xml:space="preserve">. Based on these data we argue that the anterior region of the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 stem species included </w:t>
      </w:r>
      <w:r>
        <w:rPr>
          <w:rFonts w:ascii="TimesNewRomanPS" w:hAnsi="TimesNewRomanPS"/>
          <w:i/>
          <w:iCs/>
          <w:color w:val="333333"/>
          <w:sz w:val="20"/>
          <w:szCs w:val="20"/>
        </w:rPr>
        <w:t xml:space="preserve">Six3/6, NK2.1, </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fez</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FoxQ2</w:t>
      </w:r>
      <w:r>
        <w:rPr>
          <w:rFonts w:ascii="TimesNewRomanPSMT" w:hAnsi="TimesNewRomanPSMT" w:cs="TimesNewRomanPSMT"/>
          <w:color w:val="333333"/>
          <w:sz w:val="20"/>
          <w:szCs w:val="20"/>
        </w:rPr>
        <w:t xml:space="preserve">expression domains that were subsequently modified within larval and adult neural tissues of protostome and deuterostome animals. </w:t>
      </w:r>
    </w:p>
    <w:p w14:paraId="5C638B08" w14:textId="77777777" w:rsidR="00667C0D" w:rsidRDefault="00667C0D" w:rsidP="00667C0D">
      <w:pPr>
        <w:pStyle w:val="NormalWeb"/>
      </w:pPr>
      <w:r>
        <w:rPr>
          <w:rFonts w:ascii="Cambria" w:hAnsi="Cambria"/>
          <w:b/>
          <w:bCs/>
        </w:rPr>
        <w:t xml:space="preserve">References </w:t>
      </w:r>
    </w:p>
    <w:p w14:paraId="71D9A152" w14:textId="77777777" w:rsidR="00667C0D" w:rsidRDefault="00667C0D" w:rsidP="00667C0D">
      <w:pPr>
        <w:pStyle w:val="NormalWeb"/>
      </w:pPr>
      <w:r>
        <w:rPr>
          <w:rFonts w:ascii="Cambria" w:hAnsi="Cambria"/>
        </w:rPr>
        <w:t>(</w:t>
      </w:r>
      <w:r>
        <w:rPr>
          <w:rFonts w:ascii="Cambria" w:hAnsi="Cambria"/>
          <w:i/>
          <w:iCs/>
        </w:rPr>
        <w:t>The following two styles should be used for articles in a journal</w:t>
      </w:r>
      <w:r>
        <w:rPr>
          <w:rFonts w:ascii="Cambria" w:hAnsi="Cambria"/>
        </w:rPr>
        <w:t xml:space="preserve">) </w:t>
      </w:r>
    </w:p>
    <w:p w14:paraId="450ECAD0" w14:textId="77777777" w:rsidR="00667C0D" w:rsidRDefault="00667C0D" w:rsidP="00667C0D">
      <w:pPr>
        <w:pStyle w:val="NormalWeb"/>
      </w:pPr>
      <w:r>
        <w:rPr>
          <w:rFonts w:ascii="Cambria" w:hAnsi="Cambria"/>
        </w:rPr>
        <w:t xml:space="preserve">Dunn CW, </w:t>
      </w:r>
      <w:proofErr w:type="spellStart"/>
      <w:r>
        <w:rPr>
          <w:rFonts w:ascii="Cambria" w:hAnsi="Cambria"/>
        </w:rPr>
        <w:t>Hejnol</w:t>
      </w:r>
      <w:proofErr w:type="spellEnd"/>
      <w:r>
        <w:rPr>
          <w:rFonts w:ascii="Cambria" w:hAnsi="Cambria"/>
        </w:rPr>
        <w:t xml:space="preserve"> A, </w:t>
      </w:r>
      <w:proofErr w:type="spellStart"/>
      <w:r>
        <w:rPr>
          <w:rFonts w:ascii="Cambria" w:hAnsi="Cambria"/>
        </w:rPr>
        <w:t>Matus</w:t>
      </w:r>
      <w:proofErr w:type="spellEnd"/>
      <w:r>
        <w:rPr>
          <w:rFonts w:ascii="Cambria" w:hAnsi="Cambria"/>
        </w:rPr>
        <w:t xml:space="preserve"> DQ, PANG K, Browne WE, Smith SA, </w:t>
      </w:r>
      <w:proofErr w:type="spellStart"/>
      <w:r>
        <w:rPr>
          <w:rFonts w:ascii="Cambria" w:hAnsi="Cambria"/>
        </w:rPr>
        <w:t>Seaver</w:t>
      </w:r>
      <w:proofErr w:type="spellEnd"/>
      <w:r>
        <w:rPr>
          <w:rFonts w:ascii="Cambria" w:hAnsi="Cambria"/>
        </w:rPr>
        <w:t xml:space="preserve"> E, Rouse GW, </w:t>
      </w:r>
      <w:proofErr w:type="spellStart"/>
      <w:r>
        <w:rPr>
          <w:rFonts w:ascii="Cambria" w:hAnsi="Cambria"/>
        </w:rPr>
        <w:t>Obst</w:t>
      </w:r>
      <w:proofErr w:type="spellEnd"/>
      <w:r>
        <w:rPr>
          <w:rFonts w:ascii="Cambria" w:hAnsi="Cambria"/>
        </w:rPr>
        <w:t xml:space="preserve"> M, Edgecombe GD, </w:t>
      </w:r>
      <w:proofErr w:type="spellStart"/>
      <w:r>
        <w:rPr>
          <w:rFonts w:ascii="Cambria" w:hAnsi="Cambria"/>
        </w:rPr>
        <w:t>Sørensen</w:t>
      </w:r>
      <w:proofErr w:type="spellEnd"/>
      <w:r>
        <w:rPr>
          <w:rFonts w:ascii="Cambria" w:hAnsi="Cambria"/>
        </w:rPr>
        <w:t xml:space="preserve"> MV, Haddock SHD, Schmidt-</w:t>
      </w:r>
      <w:proofErr w:type="spellStart"/>
      <w:r>
        <w:rPr>
          <w:rFonts w:ascii="Cambria" w:hAnsi="Cambria"/>
        </w:rPr>
        <w:t>Rhaesa</w:t>
      </w:r>
      <w:proofErr w:type="spellEnd"/>
      <w:r>
        <w:rPr>
          <w:rFonts w:ascii="Cambria" w:hAnsi="Cambria"/>
        </w:rPr>
        <w:t xml:space="preserve"> A, </w:t>
      </w:r>
      <w:proofErr w:type="spellStart"/>
      <w:r>
        <w:rPr>
          <w:rFonts w:ascii="Cambria" w:hAnsi="Cambria"/>
        </w:rPr>
        <w:t>Okusu</w:t>
      </w:r>
      <w:proofErr w:type="spellEnd"/>
      <w:r>
        <w:rPr>
          <w:rFonts w:ascii="Cambria" w:hAnsi="Cambria"/>
        </w:rPr>
        <w:t xml:space="preserve"> A, </w:t>
      </w:r>
      <w:proofErr w:type="spellStart"/>
      <w:r>
        <w:rPr>
          <w:rFonts w:ascii="Cambria" w:hAnsi="Cambria"/>
        </w:rPr>
        <w:t>Kristensen</w:t>
      </w:r>
      <w:proofErr w:type="spellEnd"/>
      <w:r>
        <w:rPr>
          <w:rFonts w:ascii="Cambria" w:hAnsi="Cambria"/>
        </w:rPr>
        <w:t xml:space="preserve"> RM, Wheeler WC, Martindale MQ, </w:t>
      </w:r>
      <w:proofErr w:type="spellStart"/>
      <w:r>
        <w:rPr>
          <w:rFonts w:ascii="Cambria" w:hAnsi="Cambria"/>
        </w:rPr>
        <w:t>Giribet</w:t>
      </w:r>
      <w:proofErr w:type="spellEnd"/>
      <w:r>
        <w:rPr>
          <w:rFonts w:ascii="Cambria" w:hAnsi="Cambria"/>
        </w:rPr>
        <w:t xml:space="preserve"> G. 2008. Broad </w:t>
      </w:r>
      <w:proofErr w:type="spellStart"/>
      <w:r>
        <w:rPr>
          <w:rFonts w:ascii="Cambria" w:hAnsi="Cambria"/>
        </w:rPr>
        <w:t>phylogenomic</w:t>
      </w:r>
      <w:proofErr w:type="spellEnd"/>
      <w:r>
        <w:rPr>
          <w:rFonts w:ascii="Cambria" w:hAnsi="Cambria"/>
        </w:rPr>
        <w:t xml:space="preserve"> sampling improves resolution of the animal tree of life. </w:t>
      </w:r>
      <w:r>
        <w:rPr>
          <w:rFonts w:ascii="Cambria" w:hAnsi="Cambria"/>
          <w:i/>
          <w:iCs/>
        </w:rPr>
        <w:t xml:space="preserve">Nature </w:t>
      </w:r>
      <w:r>
        <w:rPr>
          <w:rFonts w:ascii="Cambria" w:hAnsi="Cambria"/>
        </w:rPr>
        <w:t xml:space="preserve">452: 4261-4270 </w:t>
      </w:r>
    </w:p>
    <w:p w14:paraId="6387697F" w14:textId="77777777" w:rsidR="00667C0D" w:rsidRDefault="00667C0D" w:rsidP="00667C0D">
      <w:pPr>
        <w:pStyle w:val="NormalWeb"/>
      </w:pPr>
      <w:proofErr w:type="spellStart"/>
      <w:r>
        <w:rPr>
          <w:rFonts w:ascii="Cambria" w:hAnsi="Cambria"/>
        </w:rPr>
        <w:t>Halanych</w:t>
      </w:r>
      <w:proofErr w:type="spellEnd"/>
      <w:r>
        <w:rPr>
          <w:rFonts w:ascii="Cambria" w:hAnsi="Cambria"/>
        </w:rPr>
        <w:t xml:space="preserve"> KM, Bacheller JD, Aguinaldo AMA, </w:t>
      </w:r>
      <w:proofErr w:type="spellStart"/>
      <w:r>
        <w:rPr>
          <w:rFonts w:ascii="Cambria" w:hAnsi="Cambria"/>
        </w:rPr>
        <w:t>Liva</w:t>
      </w:r>
      <w:proofErr w:type="spellEnd"/>
      <w:r>
        <w:rPr>
          <w:rFonts w:ascii="Cambria" w:hAnsi="Cambria"/>
        </w:rPr>
        <w:t xml:space="preserve"> SM, Hillis DM, Lake JA. 1995. Evidence from 18S ribosomal DNA that the </w:t>
      </w:r>
      <w:proofErr w:type="spellStart"/>
      <w:r>
        <w:rPr>
          <w:rFonts w:ascii="Cambria" w:hAnsi="Cambria"/>
        </w:rPr>
        <w:t>lophophorates</w:t>
      </w:r>
      <w:proofErr w:type="spellEnd"/>
      <w:r>
        <w:rPr>
          <w:rFonts w:ascii="Cambria" w:hAnsi="Cambria"/>
        </w:rPr>
        <w:t xml:space="preserve"> are protostome animals. </w:t>
      </w:r>
      <w:r>
        <w:rPr>
          <w:rFonts w:ascii="Cambria" w:hAnsi="Cambria"/>
          <w:i/>
          <w:iCs/>
        </w:rPr>
        <w:t xml:space="preserve">Science </w:t>
      </w:r>
      <w:r>
        <w:rPr>
          <w:rFonts w:ascii="Cambria" w:hAnsi="Cambria"/>
        </w:rPr>
        <w:t xml:space="preserve">267:1641-1643. </w:t>
      </w:r>
    </w:p>
    <w:p w14:paraId="5CE72878" w14:textId="77777777" w:rsidR="00667C0D" w:rsidRDefault="00667C0D" w:rsidP="00667C0D">
      <w:pPr>
        <w:pStyle w:val="NormalWeb"/>
      </w:pPr>
      <w:r>
        <w:rPr>
          <w:rFonts w:ascii="Cambria" w:hAnsi="Cambria"/>
        </w:rPr>
        <w:lastRenderedPageBreak/>
        <w:t>(</w:t>
      </w:r>
      <w:r>
        <w:rPr>
          <w:rFonts w:ascii="Cambria" w:hAnsi="Cambria"/>
          <w:i/>
          <w:iCs/>
        </w:rPr>
        <w:t>The following style should be used for chapters in a book or a thesis</w:t>
      </w:r>
      <w:r>
        <w:rPr>
          <w:rFonts w:ascii="Cambria" w:hAnsi="Cambria"/>
        </w:rPr>
        <w:t xml:space="preserve">) </w:t>
      </w:r>
    </w:p>
    <w:p w14:paraId="2B085CAF" w14:textId="77777777" w:rsidR="00667C0D" w:rsidRDefault="00667C0D" w:rsidP="00667C0D">
      <w:pPr>
        <w:pStyle w:val="NormalWeb"/>
      </w:pPr>
      <w:r>
        <w:rPr>
          <w:rFonts w:ascii="Cambria" w:hAnsi="Cambria"/>
        </w:rPr>
        <w:t xml:space="preserve">Reed CG. 1987. Phylum </w:t>
      </w:r>
      <w:proofErr w:type="spellStart"/>
      <w:r>
        <w:rPr>
          <w:rFonts w:ascii="Cambria" w:hAnsi="Cambria"/>
        </w:rPr>
        <w:t>Brachiopoda</w:t>
      </w:r>
      <w:proofErr w:type="spellEnd"/>
      <w:r>
        <w:rPr>
          <w:rFonts w:ascii="Cambria" w:hAnsi="Cambria"/>
        </w:rPr>
        <w:t xml:space="preserve">. In: </w:t>
      </w:r>
      <w:proofErr w:type="spellStart"/>
      <w:r>
        <w:rPr>
          <w:rFonts w:ascii="Cambria" w:hAnsi="Cambria"/>
        </w:rPr>
        <w:t>Strathmann</w:t>
      </w:r>
      <w:proofErr w:type="spellEnd"/>
      <w:r>
        <w:rPr>
          <w:rFonts w:ascii="Cambria" w:hAnsi="Cambria"/>
        </w:rPr>
        <w:t xml:space="preserve"> MF editor. Reproduction and development of the marine invertebrates of the northern Pacific coast Seattle and London: University of Washington Press. pp. 486-493. </w:t>
      </w:r>
    </w:p>
    <w:p w14:paraId="7AD87E49" w14:textId="77777777" w:rsidR="00667C0D" w:rsidRDefault="00667C0D" w:rsidP="00667C0D">
      <w:pPr>
        <w:pStyle w:val="NormalWeb"/>
      </w:pPr>
      <w:r>
        <w:rPr>
          <w:rFonts w:ascii="Cambria" w:hAnsi="Cambria"/>
          <w:b/>
          <w:bCs/>
        </w:rPr>
        <w:t xml:space="preserve">Reference Tips </w:t>
      </w:r>
    </w:p>
    <w:p w14:paraId="5E71B91E" w14:textId="77777777" w:rsidR="00667C0D" w:rsidRDefault="00667C0D" w:rsidP="00667C0D">
      <w:pPr>
        <w:pStyle w:val="NormalWeb"/>
      </w:pPr>
      <w:r>
        <w:rPr>
          <w:rFonts w:ascii="Cambria" w:hAnsi="Cambria"/>
          <w:b/>
          <w:bCs/>
        </w:rPr>
        <w:t xml:space="preserve">1) Do not include (Author, date) citations in the text of your abstract. 2) Do not cite websites or other non-peer reviewed sources. </w:t>
      </w:r>
    </w:p>
    <w:p w14:paraId="4BD7A4D1" w14:textId="77777777" w:rsidR="00667C0D" w:rsidRDefault="00667C0D" w:rsidP="00667C0D">
      <w:pPr>
        <w:pStyle w:val="NormalWeb"/>
      </w:pPr>
      <w:r>
        <w:rPr>
          <w:rFonts w:ascii="Cambria" w:hAnsi="Cambria"/>
        </w:rPr>
        <w:t>Student's Name:</w:t>
      </w:r>
      <w:r>
        <w:rPr>
          <w:rFonts w:ascii="Cambria" w:hAnsi="Cambria"/>
        </w:rPr>
        <w:br/>
        <w:t>Date:</w:t>
      </w:r>
      <w:r>
        <w:rPr>
          <w:rFonts w:ascii="Cambria" w:hAnsi="Cambria"/>
        </w:rPr>
        <w:br/>
        <w:t xml:space="preserve">Seminar Speaker and Seminar Title: </w:t>
      </w:r>
    </w:p>
    <w:p w14:paraId="2ADAB580" w14:textId="77777777" w:rsidR="00667C0D" w:rsidRDefault="00667C0D" w:rsidP="00667C0D">
      <w:pPr>
        <w:pStyle w:val="NormalWeb"/>
      </w:pPr>
      <w:r>
        <w:rPr>
          <w:rFonts w:ascii="TimesNewRomanPS" w:hAnsi="TimesNewRomanPS"/>
          <w:b/>
          <w:bCs/>
          <w:color w:val="333333"/>
          <w:sz w:val="28"/>
          <w:szCs w:val="28"/>
        </w:rPr>
        <w:t xml:space="preserve">Background </w:t>
      </w:r>
    </w:p>
    <w:p w14:paraId="2371C598" w14:textId="77777777" w:rsidR="00667C0D" w:rsidRDefault="00667C0D" w:rsidP="00667C0D">
      <w:pPr>
        <w:pStyle w:val="NormalWeb"/>
      </w:pPr>
      <w:r>
        <w:rPr>
          <w:rFonts w:ascii="TimesNewRomanPSMT" w:hAnsi="TimesNewRomanPSMT" w:cs="TimesNewRomanPSMT"/>
          <w:color w:val="333333"/>
          <w:sz w:val="20"/>
          <w:szCs w:val="20"/>
        </w:rPr>
        <w:t xml:space="preserve">Larval features such as the apical organ, apical ciliary tuft, and ciliated bands often complicate the evaluation of hypotheses regarding the origin of the adult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 nervous system. Understanding how neurogenic domains form within the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 head and larval apical organ requires expression data from animals that exhibit aspects of both centralized and diffuse nervous systems at different life history stages. Here, we describe the expression of eight neural-related genes during the larval development of the brachiopod, </w:t>
      </w:r>
      <w:proofErr w:type="spellStart"/>
      <w:r>
        <w:rPr>
          <w:rFonts w:ascii="TimesNewRomanPS" w:hAnsi="TimesNewRomanPS"/>
          <w:i/>
          <w:iCs/>
          <w:color w:val="333333"/>
          <w:sz w:val="20"/>
          <w:szCs w:val="20"/>
        </w:rPr>
        <w:t>Terebratalia</w:t>
      </w:r>
      <w:proofErr w:type="spellEnd"/>
      <w:r>
        <w:rPr>
          <w:rFonts w:ascii="TimesNewRomanPS" w:hAnsi="TimesNewRomanPS"/>
          <w:i/>
          <w:iCs/>
          <w:color w:val="333333"/>
          <w:sz w:val="20"/>
          <w:szCs w:val="20"/>
        </w:rPr>
        <w:t xml:space="preserve"> </w:t>
      </w:r>
      <w:proofErr w:type="spellStart"/>
      <w:r>
        <w:rPr>
          <w:rFonts w:ascii="TimesNewRomanPS" w:hAnsi="TimesNewRomanPS"/>
          <w:i/>
          <w:iCs/>
          <w:color w:val="333333"/>
          <w:sz w:val="20"/>
          <w:szCs w:val="20"/>
        </w:rPr>
        <w:t>transversa</w:t>
      </w:r>
      <w:proofErr w:type="spellEnd"/>
      <w:r>
        <w:rPr>
          <w:rFonts w:ascii="TimesNewRomanPSMT" w:hAnsi="TimesNewRomanPSMT" w:cs="TimesNewRomanPSMT"/>
          <w:color w:val="333333"/>
          <w:sz w:val="20"/>
          <w:szCs w:val="20"/>
        </w:rPr>
        <w:t xml:space="preserve">. </w:t>
      </w:r>
    </w:p>
    <w:p w14:paraId="5EB626BE" w14:textId="77777777" w:rsidR="00667C0D" w:rsidRDefault="00667C0D" w:rsidP="00667C0D">
      <w:pPr>
        <w:pStyle w:val="NormalWeb"/>
      </w:pPr>
      <w:r>
        <w:rPr>
          <w:rFonts w:ascii="TimesNewRomanPS" w:hAnsi="TimesNewRomanPS"/>
          <w:b/>
          <w:bCs/>
          <w:color w:val="333333"/>
          <w:sz w:val="28"/>
          <w:szCs w:val="28"/>
        </w:rPr>
        <w:t xml:space="preserve">Results </w:t>
      </w:r>
    </w:p>
    <w:p w14:paraId="0CF92EA7" w14:textId="77777777" w:rsidR="00667C0D" w:rsidRDefault="00667C0D" w:rsidP="00667C0D">
      <w:pPr>
        <w:pStyle w:val="NormalWeb"/>
      </w:pPr>
      <w:r>
        <w:rPr>
          <w:rFonts w:ascii="TimesNewRomanPSMT" w:hAnsi="TimesNewRomanPSMT" w:cs="TimesNewRomanPSMT"/>
          <w:color w:val="333333"/>
          <w:sz w:val="20"/>
          <w:szCs w:val="20"/>
        </w:rPr>
        <w:t xml:space="preserve">Radially symmetric gastrulae broadly express </w:t>
      </w:r>
      <w:r>
        <w:rPr>
          <w:rFonts w:ascii="TimesNewRomanPS" w:hAnsi="TimesNewRomanPS"/>
          <w:i/>
          <w:iCs/>
          <w:color w:val="333333"/>
          <w:sz w:val="20"/>
          <w:szCs w:val="20"/>
        </w:rPr>
        <w:t xml:space="preserve">Tt-Six3/6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Tt-</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in the animal cap ectoderm. </w:t>
      </w:r>
      <w:r>
        <w:rPr>
          <w:rFonts w:ascii="TimesNewRomanPS" w:hAnsi="TimesNewRomanPS"/>
          <w:i/>
          <w:iCs/>
          <w:color w:val="333333"/>
          <w:sz w:val="20"/>
          <w:szCs w:val="20"/>
        </w:rPr>
        <w:t xml:space="preserve">Tt-NK2.1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 xml:space="preserve">Tt- </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are restricted to a central subset of these cells, and </w:t>
      </w:r>
      <w:r>
        <w:rPr>
          <w:rFonts w:ascii="TimesNewRomanPS" w:hAnsi="TimesNewRomanPS"/>
          <w:i/>
          <w:iCs/>
          <w:color w:val="333333"/>
          <w:sz w:val="20"/>
          <w:szCs w:val="20"/>
        </w:rPr>
        <w:t xml:space="preserve">Tt-fez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 xml:space="preserve">Tt-FoxQ2 </w:t>
      </w:r>
      <w:r>
        <w:rPr>
          <w:rFonts w:ascii="TimesNewRomanPSMT" w:hAnsi="TimesNewRomanPSMT" w:cs="TimesNewRomanPSMT"/>
          <w:color w:val="333333"/>
          <w:sz w:val="20"/>
          <w:szCs w:val="20"/>
        </w:rPr>
        <w:t xml:space="preserve">expression domains are already asymmetric at this stage. As gastrulation proceeds, the spatial expression of these genes is split between two anterior ectodermal domains, a more dorsal region comprised of </w:t>
      </w:r>
      <w:r>
        <w:rPr>
          <w:rFonts w:ascii="TimesNewRomanPS" w:hAnsi="TimesNewRomanPS"/>
          <w:i/>
          <w:iCs/>
          <w:color w:val="333333"/>
          <w:sz w:val="20"/>
          <w:szCs w:val="20"/>
        </w:rPr>
        <w:t>Tt-Six3/6, Tt-fez, Tt-FoxQ2</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r>
        <w:rPr>
          <w:rFonts w:ascii="TimesNewRomanPSMT" w:hAnsi="TimesNewRomanPSMT" w:cs="TimesNewRomanPSMT"/>
          <w:color w:val="333333"/>
          <w:sz w:val="20"/>
          <w:szCs w:val="20"/>
        </w:rPr>
        <w:t>expression</w:t>
      </w:r>
      <w:proofErr w:type="spellEnd"/>
      <w:r>
        <w:rPr>
          <w:rFonts w:ascii="TimesNewRomanPSMT" w:hAnsi="TimesNewRomanPSMT" w:cs="TimesNewRomanPSMT"/>
          <w:color w:val="333333"/>
          <w:sz w:val="20"/>
          <w:szCs w:val="20"/>
        </w:rPr>
        <w:t xml:space="preserve"> domains, and an anterior ventral domain demarcated by </w:t>
      </w:r>
      <w:r>
        <w:rPr>
          <w:rFonts w:ascii="TimesNewRomanPS" w:hAnsi="TimesNewRomanPS"/>
          <w:i/>
          <w:iCs/>
          <w:color w:val="333333"/>
          <w:sz w:val="20"/>
          <w:szCs w:val="20"/>
        </w:rPr>
        <w:t>Tt-</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 xml:space="preserve">Tt-NK2.1 </w:t>
      </w:r>
      <w:r>
        <w:rPr>
          <w:rFonts w:ascii="TimesNewRomanPSMT" w:hAnsi="TimesNewRomanPSMT" w:cs="TimesNewRomanPSMT"/>
          <w:color w:val="333333"/>
          <w:sz w:val="20"/>
          <w:szCs w:val="20"/>
        </w:rPr>
        <w:t xml:space="preserve">expression. More posteriorly, the latter domains are bordered by </w:t>
      </w:r>
      <w:r>
        <w:rPr>
          <w:rFonts w:ascii="TimesNewRomanPS" w:hAnsi="TimesNewRomanPS"/>
          <w:i/>
          <w:iCs/>
          <w:color w:val="333333"/>
          <w:sz w:val="20"/>
          <w:szCs w:val="20"/>
        </w:rPr>
        <w:t>Tt-</w:t>
      </w:r>
      <w:proofErr w:type="spellStart"/>
      <w:r>
        <w:rPr>
          <w:rFonts w:ascii="TimesNewRomanPS" w:hAnsi="TimesNewRomanPS"/>
          <w:i/>
          <w:iCs/>
          <w:color w:val="333333"/>
          <w:sz w:val="20"/>
          <w:szCs w:val="20"/>
        </w:rPr>
        <w:t>FoxG</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expression in the region of the transverse ciliated band. </w:t>
      </w:r>
      <w:r>
        <w:rPr>
          <w:rFonts w:ascii="TimesNewRomanPS" w:hAnsi="TimesNewRomanPS"/>
          <w:i/>
          <w:iCs/>
          <w:color w:val="333333"/>
          <w:sz w:val="20"/>
          <w:szCs w:val="20"/>
        </w:rPr>
        <w:t>Tt-</w:t>
      </w:r>
      <w:proofErr w:type="spellStart"/>
      <w:r>
        <w:rPr>
          <w:rFonts w:ascii="TimesNewRomanPS" w:hAnsi="TimesNewRomanPS"/>
          <w:i/>
          <w:iCs/>
          <w:color w:val="333333"/>
          <w:sz w:val="20"/>
          <w:szCs w:val="20"/>
        </w:rPr>
        <w:t>synaptotagmin</w:t>
      </w:r>
      <w:proofErr w:type="spellEnd"/>
      <w:r>
        <w:rPr>
          <w:rFonts w:ascii="TimesNewRomanPS" w:hAnsi="TimesNewRomanPS"/>
          <w:i/>
          <w:iCs/>
          <w:color w:val="333333"/>
          <w:sz w:val="20"/>
          <w:szCs w:val="20"/>
        </w:rPr>
        <w:t xml:space="preserve"> 1 </w:t>
      </w:r>
      <w:r>
        <w:rPr>
          <w:rFonts w:ascii="TimesNewRomanPSMT" w:hAnsi="TimesNewRomanPSMT" w:cs="TimesNewRomanPSMT"/>
          <w:color w:val="333333"/>
          <w:sz w:val="20"/>
          <w:szCs w:val="20"/>
        </w:rPr>
        <w:t xml:space="preserve">is expressed throughout the anterior neural ectoderm. All genes are expressed late into larval development. The </w:t>
      </w:r>
      <w:proofErr w:type="spellStart"/>
      <w:r>
        <w:rPr>
          <w:rFonts w:ascii="TimesNewRomanPSMT" w:hAnsi="TimesNewRomanPSMT" w:cs="TimesNewRomanPSMT"/>
          <w:color w:val="333333"/>
          <w:sz w:val="20"/>
          <w:szCs w:val="20"/>
        </w:rPr>
        <w:t>basiepithelial</w:t>
      </w:r>
      <w:proofErr w:type="spellEnd"/>
      <w:r>
        <w:rPr>
          <w:rFonts w:ascii="TimesNewRomanPSMT" w:hAnsi="TimesNewRomanPSMT" w:cs="TimesNewRomanPSMT"/>
          <w:color w:val="333333"/>
          <w:sz w:val="20"/>
          <w:szCs w:val="20"/>
        </w:rPr>
        <w:t xml:space="preserve"> larval nervous system includes three neurogenic domains comprised of the more dorsal apical organ and a ventral cell cluster in the apical lobe as well as a mid-ventral band of neurons in the mantle lobe.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is the only gene expressed in numerous flask-shaped cells of the apical organ and in a subset of neurons in the mantle lobe. </w:t>
      </w:r>
    </w:p>
    <w:p w14:paraId="4E7F7829" w14:textId="77777777" w:rsidR="00667C0D" w:rsidRDefault="00667C0D" w:rsidP="00667C0D">
      <w:pPr>
        <w:pStyle w:val="NormalWeb"/>
      </w:pPr>
      <w:r>
        <w:rPr>
          <w:rFonts w:ascii="TimesNewRomanPS" w:hAnsi="TimesNewRomanPS"/>
          <w:b/>
          <w:bCs/>
          <w:color w:val="333333"/>
          <w:sz w:val="28"/>
          <w:szCs w:val="28"/>
        </w:rPr>
        <w:t xml:space="preserve">Conclusions </w:t>
      </w:r>
    </w:p>
    <w:p w14:paraId="0B319F47" w14:textId="77777777" w:rsidR="00667C0D" w:rsidRDefault="00667C0D" w:rsidP="00667C0D">
      <w:pPr>
        <w:pStyle w:val="NormalWeb"/>
      </w:pPr>
      <w:r>
        <w:rPr>
          <w:rFonts w:ascii="TimesNewRomanPSMT" w:hAnsi="TimesNewRomanPSMT" w:cs="TimesNewRomanPSMT"/>
          <w:color w:val="333333"/>
          <w:sz w:val="20"/>
          <w:szCs w:val="20"/>
        </w:rPr>
        <w:t xml:space="preserve">Our expression data for </w:t>
      </w:r>
      <w:r>
        <w:rPr>
          <w:rFonts w:ascii="TimesNewRomanPS" w:hAnsi="TimesNewRomanPS"/>
          <w:i/>
          <w:iCs/>
          <w:color w:val="333333"/>
          <w:sz w:val="20"/>
          <w:szCs w:val="20"/>
        </w:rPr>
        <w:t>Tt-Six3/6, Tt-FoxQ2</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confirm some aspects of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-wide conservation of spatial partitioning within anterior neurogenic domains and also suggest a common origin for central </w:t>
      </w:r>
      <w:proofErr w:type="spellStart"/>
      <w:r>
        <w:rPr>
          <w:rFonts w:ascii="TimesNewRomanPS" w:hAnsi="TimesNewRomanPS"/>
          <w:i/>
          <w:iCs/>
          <w:color w:val="333333"/>
          <w:sz w:val="20"/>
          <w:szCs w:val="20"/>
        </w:rPr>
        <w:t>otp</w:t>
      </w:r>
      <w:proofErr w:type="spellEnd"/>
      <w:r>
        <w:rPr>
          <w:rFonts w:ascii="TimesNewRomanPSMT" w:hAnsi="TimesNewRomanPSMT" w:cs="TimesNewRomanPSMT"/>
          <w:color w:val="333333"/>
          <w:sz w:val="20"/>
          <w:szCs w:val="20"/>
        </w:rPr>
        <w:t xml:space="preserve">-positive cell types within the larval apical organs of </w:t>
      </w:r>
      <w:proofErr w:type="spellStart"/>
      <w:r>
        <w:rPr>
          <w:rFonts w:ascii="TimesNewRomanPSMT" w:hAnsi="TimesNewRomanPSMT" w:cs="TimesNewRomanPSMT"/>
          <w:color w:val="333333"/>
          <w:sz w:val="20"/>
          <w:szCs w:val="20"/>
        </w:rPr>
        <w:t>spiralians</w:t>
      </w:r>
      <w:proofErr w:type="spellEnd"/>
      <w:r>
        <w:rPr>
          <w:rFonts w:ascii="TimesNewRomanPSMT" w:hAnsi="TimesNewRomanPSMT" w:cs="TimesNewRomanPSMT"/>
          <w:color w:val="333333"/>
          <w:sz w:val="20"/>
          <w:szCs w:val="20"/>
        </w:rPr>
        <w:t xml:space="preserve">. However, the field of sensory neurons within the larval apical organ of </w:t>
      </w:r>
      <w:proofErr w:type="spellStart"/>
      <w:r>
        <w:rPr>
          <w:rFonts w:ascii="TimesNewRomanPS" w:hAnsi="TimesNewRomanPS"/>
          <w:i/>
          <w:iCs/>
          <w:color w:val="333333"/>
          <w:sz w:val="20"/>
          <w:szCs w:val="20"/>
        </w:rPr>
        <w:t>Terebratalia</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is broader and composed of more cells relative to those of other </w:t>
      </w:r>
      <w:proofErr w:type="spellStart"/>
      <w:r>
        <w:rPr>
          <w:rFonts w:ascii="TimesNewRomanPSMT" w:hAnsi="TimesNewRomanPSMT" w:cs="TimesNewRomanPSMT"/>
          <w:color w:val="333333"/>
          <w:sz w:val="20"/>
          <w:szCs w:val="20"/>
        </w:rPr>
        <w:t>spiralian</w:t>
      </w:r>
      <w:proofErr w:type="spellEnd"/>
      <w:r>
        <w:rPr>
          <w:rFonts w:ascii="TimesNewRomanPSMT" w:hAnsi="TimesNewRomanPSMT" w:cs="TimesNewRomanPSMT"/>
          <w:color w:val="333333"/>
          <w:sz w:val="20"/>
          <w:szCs w:val="20"/>
        </w:rPr>
        <w:t xml:space="preserve"> larvae. These cellular differences are mirrored in the broader spatial and temporal expression patterns of </w:t>
      </w:r>
      <w:r>
        <w:rPr>
          <w:rFonts w:ascii="TimesNewRomanPS" w:hAnsi="TimesNewRomanPS"/>
          <w:i/>
          <w:iCs/>
          <w:color w:val="333333"/>
          <w:sz w:val="20"/>
          <w:szCs w:val="20"/>
        </w:rPr>
        <w:t xml:space="preserve">Tt-FoxQ2 </w:t>
      </w:r>
      <w:r>
        <w:rPr>
          <w:rFonts w:ascii="TimesNewRomanPSMT" w:hAnsi="TimesNewRomanPSMT" w:cs="TimesNewRomanPSMT"/>
          <w:color w:val="333333"/>
          <w:sz w:val="20"/>
          <w:szCs w:val="20"/>
        </w:rPr>
        <w:t xml:space="preserve">and </w:t>
      </w:r>
      <w:r>
        <w:rPr>
          <w:rFonts w:ascii="TimesNewRomanPS" w:hAnsi="TimesNewRomanPS"/>
          <w:i/>
          <w:iCs/>
          <w:color w:val="333333"/>
          <w:sz w:val="20"/>
          <w:szCs w:val="20"/>
        </w:rPr>
        <w:t>Tt-</w:t>
      </w:r>
      <w:proofErr w:type="spellStart"/>
      <w:r>
        <w:rPr>
          <w:rFonts w:ascii="TimesNewRomanPS" w:hAnsi="TimesNewRomanPS"/>
          <w:i/>
          <w:iCs/>
          <w:color w:val="333333"/>
          <w:sz w:val="20"/>
          <w:szCs w:val="20"/>
        </w:rPr>
        <w:t>otp</w:t>
      </w:r>
      <w:proofErr w:type="spellEnd"/>
      <w:r>
        <w:rPr>
          <w:rFonts w:ascii="TimesNewRomanPSMT" w:hAnsi="TimesNewRomanPSMT" w:cs="TimesNewRomanPSMT"/>
          <w:color w:val="333333"/>
          <w:sz w:val="20"/>
          <w:szCs w:val="20"/>
        </w:rPr>
        <w:t xml:space="preserve">. Corresponding differences in the expression of </w:t>
      </w:r>
      <w:r>
        <w:rPr>
          <w:rFonts w:ascii="TimesNewRomanPS" w:hAnsi="TimesNewRomanPS"/>
          <w:i/>
          <w:iCs/>
          <w:color w:val="333333"/>
          <w:sz w:val="20"/>
          <w:szCs w:val="20"/>
        </w:rPr>
        <w:t>Tt-</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Tt-NK2.1</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Tt-</w:t>
      </w:r>
      <w:proofErr w:type="spellStart"/>
      <w:r>
        <w:rPr>
          <w:rFonts w:ascii="TimesNewRomanPS" w:hAnsi="TimesNewRomanPS"/>
          <w:i/>
          <w:iCs/>
          <w:color w:val="333333"/>
          <w:sz w:val="20"/>
          <w:szCs w:val="20"/>
        </w:rPr>
        <w:t>FoxG</w:t>
      </w:r>
      <w:proofErr w:type="spellEnd"/>
      <w:r>
        <w:rPr>
          <w:rFonts w:ascii="TimesNewRomanPS" w:hAnsi="TimesNewRomanPS"/>
          <w:i/>
          <w:iCs/>
          <w:color w:val="333333"/>
          <w:sz w:val="20"/>
          <w:szCs w:val="20"/>
        </w:rPr>
        <w:t xml:space="preserve"> </w:t>
      </w:r>
      <w:r>
        <w:rPr>
          <w:rFonts w:ascii="TimesNewRomanPSMT" w:hAnsi="TimesNewRomanPSMT" w:cs="TimesNewRomanPSMT"/>
          <w:color w:val="333333"/>
          <w:sz w:val="20"/>
          <w:szCs w:val="20"/>
        </w:rPr>
        <w:t xml:space="preserve">are also observed relative to their respective domains within the cerebral ganglia of </w:t>
      </w:r>
      <w:proofErr w:type="spellStart"/>
      <w:r>
        <w:rPr>
          <w:rFonts w:ascii="TimesNewRomanPSMT" w:hAnsi="TimesNewRomanPSMT" w:cs="TimesNewRomanPSMT"/>
          <w:color w:val="333333"/>
          <w:sz w:val="20"/>
          <w:szCs w:val="20"/>
        </w:rPr>
        <w:t>spiralians</w:t>
      </w:r>
      <w:proofErr w:type="spellEnd"/>
      <w:r>
        <w:rPr>
          <w:rFonts w:ascii="TimesNewRomanPSMT" w:hAnsi="TimesNewRomanPSMT" w:cs="TimesNewRomanPSMT"/>
          <w:color w:val="333333"/>
          <w:sz w:val="20"/>
          <w:szCs w:val="20"/>
        </w:rPr>
        <w:t xml:space="preserve">. Based on these data we argue that the anterior region of the </w:t>
      </w:r>
      <w:proofErr w:type="spellStart"/>
      <w:r>
        <w:rPr>
          <w:rFonts w:ascii="TimesNewRomanPSMT" w:hAnsi="TimesNewRomanPSMT" w:cs="TimesNewRomanPSMT"/>
          <w:color w:val="333333"/>
          <w:sz w:val="20"/>
          <w:szCs w:val="20"/>
        </w:rPr>
        <w:t>bilaterian</w:t>
      </w:r>
      <w:proofErr w:type="spellEnd"/>
      <w:r>
        <w:rPr>
          <w:rFonts w:ascii="TimesNewRomanPSMT" w:hAnsi="TimesNewRomanPSMT" w:cs="TimesNewRomanPSMT"/>
          <w:color w:val="333333"/>
          <w:sz w:val="20"/>
          <w:szCs w:val="20"/>
        </w:rPr>
        <w:t xml:space="preserve"> stem species included </w:t>
      </w:r>
      <w:r>
        <w:rPr>
          <w:rFonts w:ascii="TimesNewRomanPS" w:hAnsi="TimesNewRomanPS"/>
          <w:i/>
          <w:iCs/>
          <w:color w:val="333333"/>
          <w:sz w:val="20"/>
          <w:szCs w:val="20"/>
        </w:rPr>
        <w:t xml:space="preserve">Six3/6, NK2.1, </w:t>
      </w:r>
      <w:proofErr w:type="spellStart"/>
      <w:r>
        <w:rPr>
          <w:rFonts w:ascii="TimesNewRomanPS" w:hAnsi="TimesNewRomanPS"/>
          <w:i/>
          <w:iCs/>
          <w:color w:val="333333"/>
          <w:sz w:val="20"/>
          <w:szCs w:val="20"/>
        </w:rPr>
        <w:t>otp</w:t>
      </w:r>
      <w:proofErr w:type="spellEnd"/>
      <w:r>
        <w:rPr>
          <w:rFonts w:ascii="TimesNewRomanPS" w:hAnsi="TimesNewRomanPS"/>
          <w:i/>
          <w:iCs/>
          <w:color w:val="333333"/>
          <w:sz w:val="20"/>
          <w:szCs w:val="20"/>
        </w:rPr>
        <w:t xml:space="preserve">, </w:t>
      </w:r>
      <w:proofErr w:type="spellStart"/>
      <w:r>
        <w:rPr>
          <w:rFonts w:ascii="TimesNewRomanPS" w:hAnsi="TimesNewRomanPS"/>
          <w:i/>
          <w:iCs/>
          <w:color w:val="333333"/>
          <w:sz w:val="20"/>
          <w:szCs w:val="20"/>
        </w:rPr>
        <w:t>hbn</w:t>
      </w:r>
      <w:proofErr w:type="spellEnd"/>
      <w:r>
        <w:rPr>
          <w:rFonts w:ascii="TimesNewRomanPS" w:hAnsi="TimesNewRomanPS"/>
          <w:i/>
          <w:iCs/>
          <w:color w:val="333333"/>
          <w:sz w:val="20"/>
          <w:szCs w:val="20"/>
        </w:rPr>
        <w:t>, fez</w:t>
      </w:r>
      <w:r>
        <w:rPr>
          <w:rFonts w:ascii="TimesNewRomanPSMT" w:hAnsi="TimesNewRomanPSMT" w:cs="TimesNewRomanPSMT"/>
          <w:color w:val="333333"/>
          <w:sz w:val="20"/>
          <w:szCs w:val="20"/>
        </w:rPr>
        <w:t xml:space="preserve">, and </w:t>
      </w:r>
      <w:r>
        <w:rPr>
          <w:rFonts w:ascii="TimesNewRomanPS" w:hAnsi="TimesNewRomanPS"/>
          <w:i/>
          <w:iCs/>
          <w:color w:val="333333"/>
          <w:sz w:val="20"/>
          <w:szCs w:val="20"/>
        </w:rPr>
        <w:t>FoxQ2</w:t>
      </w:r>
      <w:r>
        <w:rPr>
          <w:rFonts w:ascii="TimesNewRomanPSMT" w:hAnsi="TimesNewRomanPSMT" w:cs="TimesNewRomanPSMT"/>
          <w:color w:val="333333"/>
          <w:sz w:val="20"/>
          <w:szCs w:val="20"/>
        </w:rPr>
        <w:t xml:space="preserve">expression domains that were subsequently modified within larval and adult neural tissues of protostome and deuterostome animals. </w:t>
      </w:r>
    </w:p>
    <w:p w14:paraId="09B82D3B" w14:textId="77777777" w:rsidR="00667C0D" w:rsidRDefault="00667C0D" w:rsidP="00667C0D">
      <w:pPr>
        <w:pStyle w:val="NormalWeb"/>
      </w:pPr>
      <w:r>
        <w:rPr>
          <w:rFonts w:ascii="Cambria" w:hAnsi="Cambria"/>
          <w:b/>
          <w:bCs/>
        </w:rPr>
        <w:t xml:space="preserve">References </w:t>
      </w:r>
    </w:p>
    <w:p w14:paraId="79ABDA04" w14:textId="77777777" w:rsidR="00667C0D" w:rsidRDefault="00667C0D" w:rsidP="00667C0D">
      <w:pPr>
        <w:pStyle w:val="NormalWeb"/>
      </w:pPr>
      <w:r>
        <w:rPr>
          <w:rFonts w:ascii="Cambria" w:hAnsi="Cambria"/>
        </w:rPr>
        <w:t>(</w:t>
      </w:r>
      <w:r>
        <w:rPr>
          <w:rFonts w:ascii="Cambria" w:hAnsi="Cambria"/>
          <w:i/>
          <w:iCs/>
        </w:rPr>
        <w:t>The following two styles should be used for articles in a journal</w:t>
      </w:r>
      <w:r>
        <w:rPr>
          <w:rFonts w:ascii="Cambria" w:hAnsi="Cambria"/>
        </w:rPr>
        <w:t xml:space="preserve">) </w:t>
      </w:r>
    </w:p>
    <w:p w14:paraId="50D7C463" w14:textId="77777777" w:rsidR="00667C0D" w:rsidRDefault="00667C0D" w:rsidP="00667C0D">
      <w:pPr>
        <w:pStyle w:val="NormalWeb"/>
      </w:pPr>
      <w:r>
        <w:rPr>
          <w:rFonts w:ascii="Cambria" w:hAnsi="Cambria"/>
        </w:rPr>
        <w:t xml:space="preserve">Dunn CW, </w:t>
      </w:r>
      <w:proofErr w:type="spellStart"/>
      <w:r>
        <w:rPr>
          <w:rFonts w:ascii="Cambria" w:hAnsi="Cambria"/>
        </w:rPr>
        <w:t>Hejnol</w:t>
      </w:r>
      <w:proofErr w:type="spellEnd"/>
      <w:r>
        <w:rPr>
          <w:rFonts w:ascii="Cambria" w:hAnsi="Cambria"/>
        </w:rPr>
        <w:t xml:space="preserve"> A, </w:t>
      </w:r>
      <w:proofErr w:type="spellStart"/>
      <w:r>
        <w:rPr>
          <w:rFonts w:ascii="Cambria" w:hAnsi="Cambria"/>
        </w:rPr>
        <w:t>Matus</w:t>
      </w:r>
      <w:proofErr w:type="spellEnd"/>
      <w:r>
        <w:rPr>
          <w:rFonts w:ascii="Cambria" w:hAnsi="Cambria"/>
        </w:rPr>
        <w:t xml:space="preserve"> DQ, PANG K, Browne WE, Smith SA, </w:t>
      </w:r>
      <w:proofErr w:type="spellStart"/>
      <w:r>
        <w:rPr>
          <w:rFonts w:ascii="Cambria" w:hAnsi="Cambria"/>
        </w:rPr>
        <w:t>Seaver</w:t>
      </w:r>
      <w:proofErr w:type="spellEnd"/>
      <w:r>
        <w:rPr>
          <w:rFonts w:ascii="Cambria" w:hAnsi="Cambria"/>
        </w:rPr>
        <w:t xml:space="preserve"> E, Rouse GW, </w:t>
      </w:r>
      <w:proofErr w:type="spellStart"/>
      <w:r>
        <w:rPr>
          <w:rFonts w:ascii="Cambria" w:hAnsi="Cambria"/>
        </w:rPr>
        <w:t>Obst</w:t>
      </w:r>
      <w:proofErr w:type="spellEnd"/>
      <w:r>
        <w:rPr>
          <w:rFonts w:ascii="Cambria" w:hAnsi="Cambria"/>
        </w:rPr>
        <w:t xml:space="preserve"> M, Edgecombe GD, </w:t>
      </w:r>
      <w:proofErr w:type="spellStart"/>
      <w:r>
        <w:rPr>
          <w:rFonts w:ascii="Cambria" w:hAnsi="Cambria"/>
        </w:rPr>
        <w:t>Sørensen</w:t>
      </w:r>
      <w:proofErr w:type="spellEnd"/>
      <w:r>
        <w:rPr>
          <w:rFonts w:ascii="Cambria" w:hAnsi="Cambria"/>
        </w:rPr>
        <w:t xml:space="preserve"> MV, Haddock SHD, Schmidt-</w:t>
      </w:r>
      <w:proofErr w:type="spellStart"/>
      <w:r>
        <w:rPr>
          <w:rFonts w:ascii="Cambria" w:hAnsi="Cambria"/>
        </w:rPr>
        <w:t>Rhaesa</w:t>
      </w:r>
      <w:proofErr w:type="spellEnd"/>
      <w:r>
        <w:rPr>
          <w:rFonts w:ascii="Cambria" w:hAnsi="Cambria"/>
        </w:rPr>
        <w:t xml:space="preserve"> A, </w:t>
      </w:r>
      <w:proofErr w:type="spellStart"/>
      <w:r>
        <w:rPr>
          <w:rFonts w:ascii="Cambria" w:hAnsi="Cambria"/>
        </w:rPr>
        <w:t>Okusu</w:t>
      </w:r>
      <w:proofErr w:type="spellEnd"/>
      <w:r>
        <w:rPr>
          <w:rFonts w:ascii="Cambria" w:hAnsi="Cambria"/>
        </w:rPr>
        <w:t xml:space="preserve"> A, </w:t>
      </w:r>
      <w:proofErr w:type="spellStart"/>
      <w:r>
        <w:rPr>
          <w:rFonts w:ascii="Cambria" w:hAnsi="Cambria"/>
        </w:rPr>
        <w:t>Kristensen</w:t>
      </w:r>
      <w:proofErr w:type="spellEnd"/>
      <w:r>
        <w:rPr>
          <w:rFonts w:ascii="Cambria" w:hAnsi="Cambria"/>
        </w:rPr>
        <w:t xml:space="preserve"> RM, Wheeler WC, Martindale MQ, </w:t>
      </w:r>
      <w:proofErr w:type="spellStart"/>
      <w:r>
        <w:rPr>
          <w:rFonts w:ascii="Cambria" w:hAnsi="Cambria"/>
        </w:rPr>
        <w:t>Giribet</w:t>
      </w:r>
      <w:proofErr w:type="spellEnd"/>
      <w:r>
        <w:rPr>
          <w:rFonts w:ascii="Cambria" w:hAnsi="Cambria"/>
        </w:rPr>
        <w:t xml:space="preserve"> G. 2008. Broad </w:t>
      </w:r>
      <w:proofErr w:type="spellStart"/>
      <w:r>
        <w:rPr>
          <w:rFonts w:ascii="Cambria" w:hAnsi="Cambria"/>
        </w:rPr>
        <w:t>phylogenomic</w:t>
      </w:r>
      <w:proofErr w:type="spellEnd"/>
      <w:r>
        <w:rPr>
          <w:rFonts w:ascii="Cambria" w:hAnsi="Cambria"/>
        </w:rPr>
        <w:t xml:space="preserve"> sampling improves resolution of the animal tree of life. </w:t>
      </w:r>
      <w:r>
        <w:rPr>
          <w:rFonts w:ascii="Cambria" w:hAnsi="Cambria"/>
          <w:i/>
          <w:iCs/>
        </w:rPr>
        <w:t xml:space="preserve">Nature </w:t>
      </w:r>
      <w:r>
        <w:rPr>
          <w:rFonts w:ascii="Cambria" w:hAnsi="Cambria"/>
        </w:rPr>
        <w:t xml:space="preserve">452: 4261-4270 </w:t>
      </w:r>
    </w:p>
    <w:p w14:paraId="0095EA67" w14:textId="77777777" w:rsidR="00667C0D" w:rsidRDefault="00667C0D" w:rsidP="00667C0D">
      <w:pPr>
        <w:pStyle w:val="NormalWeb"/>
      </w:pPr>
      <w:proofErr w:type="spellStart"/>
      <w:r>
        <w:rPr>
          <w:rFonts w:ascii="Cambria" w:hAnsi="Cambria"/>
        </w:rPr>
        <w:t>Halanych</w:t>
      </w:r>
      <w:proofErr w:type="spellEnd"/>
      <w:r>
        <w:rPr>
          <w:rFonts w:ascii="Cambria" w:hAnsi="Cambria"/>
        </w:rPr>
        <w:t xml:space="preserve"> KM, Bacheller JD, Aguinaldo AMA, </w:t>
      </w:r>
      <w:proofErr w:type="spellStart"/>
      <w:r>
        <w:rPr>
          <w:rFonts w:ascii="Cambria" w:hAnsi="Cambria"/>
        </w:rPr>
        <w:t>Liva</w:t>
      </w:r>
      <w:proofErr w:type="spellEnd"/>
      <w:r>
        <w:rPr>
          <w:rFonts w:ascii="Cambria" w:hAnsi="Cambria"/>
        </w:rPr>
        <w:t xml:space="preserve"> SM, Hillis DM, Lake JA. 1995. Evidence from 18S ribosomal DNA that the </w:t>
      </w:r>
      <w:proofErr w:type="spellStart"/>
      <w:r>
        <w:rPr>
          <w:rFonts w:ascii="Cambria" w:hAnsi="Cambria"/>
        </w:rPr>
        <w:t>lophophorates</w:t>
      </w:r>
      <w:proofErr w:type="spellEnd"/>
      <w:r>
        <w:rPr>
          <w:rFonts w:ascii="Cambria" w:hAnsi="Cambria"/>
        </w:rPr>
        <w:t xml:space="preserve"> are protostome animals. </w:t>
      </w:r>
      <w:r>
        <w:rPr>
          <w:rFonts w:ascii="Cambria" w:hAnsi="Cambria"/>
          <w:i/>
          <w:iCs/>
        </w:rPr>
        <w:t xml:space="preserve">Science </w:t>
      </w:r>
      <w:r>
        <w:rPr>
          <w:rFonts w:ascii="Cambria" w:hAnsi="Cambria"/>
        </w:rPr>
        <w:t xml:space="preserve">267:1641-1643. </w:t>
      </w:r>
    </w:p>
    <w:p w14:paraId="124E1C21" w14:textId="77777777" w:rsidR="00667C0D" w:rsidRDefault="00667C0D" w:rsidP="00667C0D">
      <w:pPr>
        <w:pStyle w:val="NormalWeb"/>
      </w:pPr>
      <w:r>
        <w:rPr>
          <w:rFonts w:ascii="Cambria" w:hAnsi="Cambria"/>
        </w:rPr>
        <w:t>(</w:t>
      </w:r>
      <w:r>
        <w:rPr>
          <w:rFonts w:ascii="Cambria" w:hAnsi="Cambria"/>
          <w:i/>
          <w:iCs/>
        </w:rPr>
        <w:t>The following style should be used for chapters in a book or a thesis</w:t>
      </w:r>
      <w:r>
        <w:rPr>
          <w:rFonts w:ascii="Cambria" w:hAnsi="Cambria"/>
        </w:rPr>
        <w:t xml:space="preserve">) </w:t>
      </w:r>
    </w:p>
    <w:p w14:paraId="5999E5FF" w14:textId="77777777" w:rsidR="00667C0D" w:rsidRDefault="00667C0D" w:rsidP="00667C0D">
      <w:pPr>
        <w:pStyle w:val="NormalWeb"/>
      </w:pPr>
      <w:r>
        <w:rPr>
          <w:rFonts w:ascii="Cambria" w:hAnsi="Cambria"/>
        </w:rPr>
        <w:t xml:space="preserve">Reed CG. 1987. Phylum </w:t>
      </w:r>
      <w:proofErr w:type="spellStart"/>
      <w:r>
        <w:rPr>
          <w:rFonts w:ascii="Cambria" w:hAnsi="Cambria"/>
        </w:rPr>
        <w:t>Brachiopoda</w:t>
      </w:r>
      <w:proofErr w:type="spellEnd"/>
      <w:r>
        <w:rPr>
          <w:rFonts w:ascii="Cambria" w:hAnsi="Cambria"/>
        </w:rPr>
        <w:t xml:space="preserve">. In: </w:t>
      </w:r>
      <w:proofErr w:type="spellStart"/>
      <w:r>
        <w:rPr>
          <w:rFonts w:ascii="Cambria" w:hAnsi="Cambria"/>
        </w:rPr>
        <w:t>Strathmann</w:t>
      </w:r>
      <w:proofErr w:type="spellEnd"/>
      <w:r>
        <w:rPr>
          <w:rFonts w:ascii="Cambria" w:hAnsi="Cambria"/>
        </w:rPr>
        <w:t xml:space="preserve"> MF editor. Reproduction and development of the marine invertebrates of the northern Pacific coast Seattle and London: University of Washington Press. pp. 486-493. </w:t>
      </w:r>
    </w:p>
    <w:p w14:paraId="00193BF9" w14:textId="77777777" w:rsidR="00667C0D" w:rsidRDefault="00667C0D" w:rsidP="00667C0D">
      <w:pPr>
        <w:pStyle w:val="NormalWeb"/>
      </w:pPr>
      <w:r>
        <w:rPr>
          <w:rFonts w:ascii="Cambria" w:hAnsi="Cambria"/>
          <w:b/>
          <w:bCs/>
        </w:rPr>
        <w:t xml:space="preserve">Reference Tips </w:t>
      </w:r>
    </w:p>
    <w:p w14:paraId="631E7075" w14:textId="77777777" w:rsidR="00667C0D" w:rsidRDefault="00667C0D" w:rsidP="00667C0D">
      <w:pPr>
        <w:pStyle w:val="NormalWeb"/>
      </w:pPr>
      <w:r>
        <w:rPr>
          <w:rFonts w:ascii="Cambria" w:hAnsi="Cambria"/>
          <w:b/>
          <w:bCs/>
        </w:rPr>
        <w:t xml:space="preserve">1) Do not include (Author, date) citations in the text of your abstract. 2) Do not cite websites or other non-peer reviewed sources. </w:t>
      </w:r>
    </w:p>
    <w:p w14:paraId="21CD30C4" w14:textId="77777777" w:rsidR="00F050CD" w:rsidRDefault="00667C0D"/>
    <w:sectPr w:rsidR="00F050CD" w:rsidSect="00EE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D"/>
    <w:rsid w:val="00667C0D"/>
    <w:rsid w:val="00E36B71"/>
    <w:rsid w:val="00E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12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C0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423">
      <w:bodyDiv w:val="1"/>
      <w:marLeft w:val="0"/>
      <w:marRight w:val="0"/>
      <w:marTop w:val="0"/>
      <w:marBottom w:val="0"/>
      <w:divBdr>
        <w:top w:val="none" w:sz="0" w:space="0" w:color="auto"/>
        <w:left w:val="none" w:sz="0" w:space="0" w:color="auto"/>
        <w:bottom w:val="none" w:sz="0" w:space="0" w:color="auto"/>
        <w:right w:val="none" w:sz="0" w:space="0" w:color="auto"/>
      </w:divBdr>
      <w:divsChild>
        <w:div w:id="706878484">
          <w:marLeft w:val="0"/>
          <w:marRight w:val="0"/>
          <w:marTop w:val="0"/>
          <w:marBottom w:val="0"/>
          <w:divBdr>
            <w:top w:val="none" w:sz="0" w:space="0" w:color="auto"/>
            <w:left w:val="none" w:sz="0" w:space="0" w:color="auto"/>
            <w:bottom w:val="none" w:sz="0" w:space="0" w:color="auto"/>
            <w:right w:val="none" w:sz="0" w:space="0" w:color="auto"/>
          </w:divBdr>
          <w:divsChild>
            <w:div w:id="1166937193">
              <w:marLeft w:val="0"/>
              <w:marRight w:val="0"/>
              <w:marTop w:val="0"/>
              <w:marBottom w:val="0"/>
              <w:divBdr>
                <w:top w:val="none" w:sz="0" w:space="0" w:color="auto"/>
                <w:left w:val="none" w:sz="0" w:space="0" w:color="auto"/>
                <w:bottom w:val="none" w:sz="0" w:space="0" w:color="auto"/>
                <w:right w:val="none" w:sz="0" w:space="0" w:color="auto"/>
              </w:divBdr>
              <w:divsChild>
                <w:div w:id="647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2033">
          <w:marLeft w:val="0"/>
          <w:marRight w:val="0"/>
          <w:marTop w:val="0"/>
          <w:marBottom w:val="0"/>
          <w:divBdr>
            <w:top w:val="none" w:sz="0" w:space="0" w:color="auto"/>
            <w:left w:val="none" w:sz="0" w:space="0" w:color="auto"/>
            <w:bottom w:val="none" w:sz="0" w:space="0" w:color="auto"/>
            <w:right w:val="none" w:sz="0" w:space="0" w:color="auto"/>
          </w:divBdr>
          <w:divsChild>
            <w:div w:id="1811943626">
              <w:marLeft w:val="0"/>
              <w:marRight w:val="0"/>
              <w:marTop w:val="0"/>
              <w:marBottom w:val="0"/>
              <w:divBdr>
                <w:top w:val="none" w:sz="0" w:space="0" w:color="auto"/>
                <w:left w:val="none" w:sz="0" w:space="0" w:color="auto"/>
                <w:bottom w:val="none" w:sz="0" w:space="0" w:color="auto"/>
                <w:right w:val="none" w:sz="0" w:space="0" w:color="auto"/>
              </w:divBdr>
              <w:divsChild>
                <w:div w:id="1216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416">
      <w:bodyDiv w:val="1"/>
      <w:marLeft w:val="0"/>
      <w:marRight w:val="0"/>
      <w:marTop w:val="0"/>
      <w:marBottom w:val="0"/>
      <w:divBdr>
        <w:top w:val="none" w:sz="0" w:space="0" w:color="auto"/>
        <w:left w:val="none" w:sz="0" w:space="0" w:color="auto"/>
        <w:bottom w:val="none" w:sz="0" w:space="0" w:color="auto"/>
        <w:right w:val="none" w:sz="0" w:space="0" w:color="auto"/>
      </w:divBdr>
      <w:divsChild>
        <w:div w:id="400755702">
          <w:marLeft w:val="0"/>
          <w:marRight w:val="0"/>
          <w:marTop w:val="0"/>
          <w:marBottom w:val="0"/>
          <w:divBdr>
            <w:top w:val="none" w:sz="0" w:space="0" w:color="auto"/>
            <w:left w:val="none" w:sz="0" w:space="0" w:color="auto"/>
            <w:bottom w:val="none" w:sz="0" w:space="0" w:color="auto"/>
            <w:right w:val="none" w:sz="0" w:space="0" w:color="auto"/>
          </w:divBdr>
          <w:divsChild>
            <w:div w:id="281116244">
              <w:marLeft w:val="0"/>
              <w:marRight w:val="0"/>
              <w:marTop w:val="0"/>
              <w:marBottom w:val="0"/>
              <w:divBdr>
                <w:top w:val="none" w:sz="0" w:space="0" w:color="auto"/>
                <w:left w:val="none" w:sz="0" w:space="0" w:color="auto"/>
                <w:bottom w:val="none" w:sz="0" w:space="0" w:color="auto"/>
                <w:right w:val="none" w:sz="0" w:space="0" w:color="auto"/>
              </w:divBdr>
              <w:divsChild>
                <w:div w:id="19303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816">
          <w:marLeft w:val="0"/>
          <w:marRight w:val="0"/>
          <w:marTop w:val="0"/>
          <w:marBottom w:val="0"/>
          <w:divBdr>
            <w:top w:val="none" w:sz="0" w:space="0" w:color="auto"/>
            <w:left w:val="none" w:sz="0" w:space="0" w:color="auto"/>
            <w:bottom w:val="none" w:sz="0" w:space="0" w:color="auto"/>
            <w:right w:val="none" w:sz="0" w:space="0" w:color="auto"/>
          </w:divBdr>
          <w:divsChild>
            <w:div w:id="752317064">
              <w:marLeft w:val="0"/>
              <w:marRight w:val="0"/>
              <w:marTop w:val="0"/>
              <w:marBottom w:val="0"/>
              <w:divBdr>
                <w:top w:val="none" w:sz="0" w:space="0" w:color="auto"/>
                <w:left w:val="none" w:sz="0" w:space="0" w:color="auto"/>
                <w:bottom w:val="none" w:sz="0" w:space="0" w:color="auto"/>
                <w:right w:val="none" w:sz="0" w:space="0" w:color="auto"/>
              </w:divBdr>
              <w:divsChild>
                <w:div w:id="14841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Macintosh Word</Application>
  <DocSecurity>0</DocSecurity>
  <Lines>53</Lines>
  <Paragraphs>15</Paragraphs>
  <ScaleCrop>false</ScaleCrop>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BRANDON.CALLAHAN@baruchmail.cuny.edu</dc:creator>
  <cp:keywords/>
  <dc:description/>
  <cp:lastModifiedBy>BRANDON.CALLAHAN@baruchmail.cuny.edu</cp:lastModifiedBy>
  <cp:revision>1</cp:revision>
  <dcterms:created xsi:type="dcterms:W3CDTF">2017-10-15T02:01:00Z</dcterms:created>
  <dcterms:modified xsi:type="dcterms:W3CDTF">2017-10-15T02:01:00Z</dcterms:modified>
</cp:coreProperties>
</file>