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B4597" w14:textId="77777777" w:rsidR="00EA358C" w:rsidRPr="00EA358C" w:rsidRDefault="00EA358C" w:rsidP="00EA358C">
      <w:pPr>
        <w:widowControl/>
        <w:jc w:val="left"/>
        <w:rPr>
          <w:rFonts w:ascii="Times New Roman" w:eastAsia="Times New Roman" w:hAnsi="Times New Roman" w:cs="Times New Roman"/>
          <w:b/>
          <w:kern w:val="0"/>
        </w:rPr>
      </w:pPr>
      <w:r w:rsidRPr="00EA358C">
        <w:rPr>
          <w:rFonts w:ascii="Raleway" w:eastAsia="Times New Roman" w:hAnsi="Raleway" w:cs="Times New Roman"/>
          <w:b/>
          <w:color w:val="333333"/>
          <w:kern w:val="0"/>
          <w:sz w:val="33"/>
          <w:szCs w:val="33"/>
        </w:rPr>
        <w:t>Global and European Governance of Employment Relations</w:t>
      </w:r>
    </w:p>
    <w:p w14:paraId="2FA984A7" w14:textId="77777777" w:rsidR="00EA358C" w:rsidRPr="00EA358C" w:rsidRDefault="00EA358C" w:rsidP="00EA358C">
      <w:pPr>
        <w:widowControl/>
        <w:shd w:val="clear" w:color="auto" w:fill="FFFFFF"/>
        <w:spacing w:after="225"/>
        <w:jc w:val="left"/>
        <w:outlineLvl w:val="2"/>
        <w:rPr>
          <w:rFonts w:ascii="Open Sans Condensed" w:eastAsia="Times New Roman" w:hAnsi="Open Sans Condensed" w:cs="Times New Roman"/>
          <w:b/>
          <w:bCs/>
          <w:color w:val="333333"/>
          <w:kern w:val="0"/>
          <w:sz w:val="30"/>
          <w:szCs w:val="30"/>
        </w:rPr>
      </w:pPr>
      <w:r w:rsidRPr="00EA358C">
        <w:rPr>
          <w:rFonts w:ascii="Open Sans Condensed" w:eastAsia="Times New Roman" w:hAnsi="Open Sans Condensed" w:cs="Times New Roman"/>
          <w:b/>
          <w:bCs/>
          <w:color w:val="333333"/>
          <w:kern w:val="0"/>
          <w:sz w:val="30"/>
          <w:szCs w:val="30"/>
        </w:rPr>
        <w:t>Individual assignment</w:t>
      </w:r>
    </w:p>
    <w:p w14:paraId="1F76D55E" w14:textId="77777777" w:rsidR="005F00AC" w:rsidRDefault="005F00AC" w:rsidP="00EA358C">
      <w:pPr>
        <w:rPr>
          <w:rFonts w:ascii="Raleway" w:eastAsia="Times New Roman" w:hAnsi="Raleway" w:cs="Times New Roman"/>
          <w:color w:val="333333"/>
          <w:kern w:val="0"/>
          <w:sz w:val="21"/>
          <w:szCs w:val="21"/>
        </w:rPr>
      </w:pPr>
    </w:p>
    <w:p w14:paraId="2408C3E9" w14:textId="7D7F80A2" w:rsidR="00EA358C" w:rsidRPr="00D7721B" w:rsidRDefault="005F00AC" w:rsidP="00EA358C">
      <w:pPr>
        <w:rPr>
          <w:b/>
        </w:rPr>
      </w:pPr>
      <w:hyperlink r:id="rId4" w:anchor="128820_info_description_panel" w:history="1">
        <w:r w:rsidR="00EA358C" w:rsidRPr="00D7721B">
          <w:rPr>
            <w:b/>
          </w:rPr>
          <w:t> Question</w:t>
        </w:r>
      </w:hyperlink>
      <w:r w:rsidR="00D7721B">
        <w:rPr>
          <w:b/>
        </w:rPr>
        <w:t>:</w:t>
      </w:r>
    </w:p>
    <w:p w14:paraId="7F509303" w14:textId="77777777" w:rsidR="00EA358C" w:rsidRPr="00EA358C" w:rsidRDefault="00EA358C" w:rsidP="00EA358C">
      <w:pPr>
        <w:widowControl/>
        <w:shd w:val="clear" w:color="auto" w:fill="FFFFFF"/>
        <w:spacing w:after="180" w:line="330" w:lineRule="atLeast"/>
        <w:jc w:val="left"/>
        <w:rPr>
          <w:rFonts w:ascii="Helvetica" w:hAnsi="Helvetica" w:cs="Times New Roman"/>
          <w:color w:val="222222"/>
          <w:kern w:val="0"/>
          <w:sz w:val="21"/>
          <w:szCs w:val="21"/>
        </w:rPr>
      </w:pPr>
      <w:r w:rsidRPr="00EA358C">
        <w:rPr>
          <w:rFonts w:ascii="Helvetica" w:hAnsi="Helvetica" w:cs="Times New Roman"/>
          <w:b/>
          <w:bCs/>
          <w:color w:val="222222"/>
          <w:kern w:val="0"/>
          <w:sz w:val="21"/>
          <w:szCs w:val="21"/>
        </w:rPr>
        <w:t>Please choose </w:t>
      </w:r>
      <w:r w:rsidRPr="00EA358C">
        <w:rPr>
          <w:rFonts w:ascii="Helvetica" w:hAnsi="Helvetica" w:cs="Times New Roman"/>
          <w:b/>
          <w:bCs/>
          <w:color w:val="222222"/>
          <w:kern w:val="0"/>
          <w:sz w:val="21"/>
          <w:szCs w:val="21"/>
          <w:u w:val="single"/>
        </w:rPr>
        <w:t>one</w:t>
      </w:r>
      <w:r w:rsidRPr="00EA358C">
        <w:rPr>
          <w:rFonts w:ascii="Helvetica" w:hAnsi="Helvetica" w:cs="Times New Roman"/>
          <w:b/>
          <w:bCs/>
          <w:color w:val="222222"/>
          <w:kern w:val="0"/>
          <w:sz w:val="21"/>
          <w:szCs w:val="21"/>
        </w:rPr>
        <w:t> of the following:</w:t>
      </w:r>
    </w:p>
    <w:p w14:paraId="5124E455" w14:textId="77777777" w:rsidR="00EA358C" w:rsidRPr="00EA358C" w:rsidRDefault="00EA358C" w:rsidP="00EA358C">
      <w:pPr>
        <w:widowControl/>
        <w:shd w:val="clear" w:color="auto" w:fill="FFFFFF"/>
        <w:spacing w:after="180" w:line="330" w:lineRule="atLeast"/>
        <w:jc w:val="left"/>
        <w:rPr>
          <w:rFonts w:ascii="Helvetica" w:hAnsi="Helvetica" w:cs="Times New Roman"/>
          <w:color w:val="222222"/>
          <w:kern w:val="0"/>
          <w:sz w:val="21"/>
          <w:szCs w:val="21"/>
        </w:rPr>
      </w:pPr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 xml:space="preserve">1) In what way can we distinguish a radical, pluralist and </w:t>
      </w:r>
      <w:proofErr w:type="spellStart"/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>unitarist</w:t>
      </w:r>
      <w:proofErr w:type="spellEnd"/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 xml:space="preserve"> view of the global governance of employment relations? Illustrate each of the three with the support of academic sources.</w:t>
      </w:r>
    </w:p>
    <w:p w14:paraId="0F586FAB" w14:textId="77777777" w:rsidR="00EA358C" w:rsidRPr="00EA358C" w:rsidRDefault="00EA358C" w:rsidP="00EA358C">
      <w:pPr>
        <w:widowControl/>
        <w:shd w:val="clear" w:color="auto" w:fill="FFFFFF"/>
        <w:spacing w:after="180" w:line="330" w:lineRule="atLeast"/>
        <w:jc w:val="left"/>
        <w:rPr>
          <w:rFonts w:ascii="Helvetica" w:hAnsi="Helvetica" w:cs="Times New Roman"/>
          <w:color w:val="222222"/>
          <w:kern w:val="0"/>
          <w:sz w:val="21"/>
          <w:szCs w:val="21"/>
        </w:rPr>
      </w:pPr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>2) Collective bargaining in China: what are its key features and to what extent is it an effective tool for the governance of employment relations?</w:t>
      </w:r>
    </w:p>
    <w:p w14:paraId="4EC09DFB" w14:textId="77777777" w:rsidR="00EA358C" w:rsidRPr="00EA358C" w:rsidRDefault="00EA358C" w:rsidP="00EA358C">
      <w:pPr>
        <w:widowControl/>
        <w:shd w:val="clear" w:color="auto" w:fill="FFFFFF"/>
        <w:spacing w:after="180" w:line="330" w:lineRule="atLeast"/>
        <w:jc w:val="left"/>
        <w:rPr>
          <w:rFonts w:ascii="Helvetica" w:hAnsi="Helvetica" w:cs="Times New Roman"/>
          <w:color w:val="222222"/>
          <w:kern w:val="0"/>
          <w:sz w:val="21"/>
          <w:szCs w:val="21"/>
        </w:rPr>
      </w:pPr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>3) "International Trade Agreements brings both benefits and risks for national states, their citizens and workers". Discuss the statement.</w:t>
      </w:r>
    </w:p>
    <w:p w14:paraId="4E797C20" w14:textId="77777777" w:rsidR="00EA358C" w:rsidRPr="00EA358C" w:rsidRDefault="00EA358C" w:rsidP="00EA358C">
      <w:pPr>
        <w:widowControl/>
        <w:shd w:val="clear" w:color="auto" w:fill="FFFFFF"/>
        <w:spacing w:after="180" w:line="330" w:lineRule="atLeast"/>
        <w:jc w:val="left"/>
        <w:rPr>
          <w:rFonts w:ascii="Helvetica" w:hAnsi="Helvetica" w:cs="Times New Roman"/>
          <w:color w:val="222222"/>
          <w:kern w:val="0"/>
          <w:sz w:val="21"/>
          <w:szCs w:val="21"/>
        </w:rPr>
      </w:pPr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>4) What have MNCs done for the global governance of employment relations so far? Discuss the issue through what can arguably be considered achievements and failures.</w:t>
      </w:r>
    </w:p>
    <w:p w14:paraId="259BBE94" w14:textId="77777777" w:rsidR="00EA358C" w:rsidRPr="00EA358C" w:rsidRDefault="00EA358C" w:rsidP="00EA358C">
      <w:pPr>
        <w:widowControl/>
        <w:shd w:val="clear" w:color="auto" w:fill="FFFFFF"/>
        <w:spacing w:after="180" w:line="330" w:lineRule="atLeast"/>
        <w:jc w:val="left"/>
        <w:rPr>
          <w:rFonts w:ascii="Helvetica" w:hAnsi="Helvetica" w:cs="Times New Roman"/>
          <w:color w:val="222222"/>
          <w:kern w:val="0"/>
          <w:sz w:val="21"/>
          <w:szCs w:val="21"/>
        </w:rPr>
      </w:pPr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 xml:space="preserve">5) Describe the extent to which trade unions are </w:t>
      </w:r>
      <w:proofErr w:type="spellStart"/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>organised</w:t>
      </w:r>
      <w:proofErr w:type="spellEnd"/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 xml:space="preserve"> at the global level, clarifying the potential and limitations of available instruments.</w:t>
      </w:r>
    </w:p>
    <w:p w14:paraId="62EAFD45" w14:textId="77777777" w:rsidR="00EA358C" w:rsidRPr="00EA358C" w:rsidRDefault="00EA358C" w:rsidP="00EA358C">
      <w:pPr>
        <w:widowControl/>
        <w:shd w:val="clear" w:color="auto" w:fill="FFFFFF"/>
        <w:spacing w:after="180" w:line="330" w:lineRule="atLeast"/>
        <w:jc w:val="left"/>
        <w:rPr>
          <w:rFonts w:ascii="Helvetica" w:hAnsi="Helvetica" w:cs="Times New Roman"/>
          <w:color w:val="222222"/>
          <w:kern w:val="0"/>
          <w:sz w:val="21"/>
          <w:szCs w:val="21"/>
        </w:rPr>
      </w:pPr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>6) To what extent is the construction of a sound social dimension a priority for the EU? Discuss developments of the last 25 years.</w:t>
      </w:r>
    </w:p>
    <w:p w14:paraId="6C03212C" w14:textId="77777777" w:rsidR="00EA358C" w:rsidRPr="00EA358C" w:rsidRDefault="00EA358C" w:rsidP="00EA358C">
      <w:pPr>
        <w:widowControl/>
        <w:shd w:val="clear" w:color="auto" w:fill="FFFFFF"/>
        <w:spacing w:after="180" w:line="330" w:lineRule="atLeast"/>
        <w:jc w:val="left"/>
        <w:rPr>
          <w:rFonts w:ascii="Helvetica" w:hAnsi="Helvetica" w:cs="Times New Roman"/>
          <w:color w:val="222222"/>
          <w:kern w:val="0"/>
          <w:sz w:val="21"/>
          <w:szCs w:val="21"/>
        </w:rPr>
      </w:pPr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>7) In what ways is the European Social Dialogue affecting employment relations in Europe? Discuss by drawing on purposes, outcomes and limits of this example of cross-national employment relations.</w:t>
      </w:r>
    </w:p>
    <w:p w14:paraId="4F1C7E68" w14:textId="77777777" w:rsidR="00EA358C" w:rsidRPr="00EA358C" w:rsidRDefault="00EA358C" w:rsidP="00EA358C">
      <w:pPr>
        <w:widowControl/>
        <w:shd w:val="clear" w:color="auto" w:fill="FFFFFF"/>
        <w:spacing w:line="330" w:lineRule="atLeast"/>
        <w:jc w:val="left"/>
        <w:rPr>
          <w:rFonts w:ascii="Helvetica" w:hAnsi="Helvetica" w:cs="Times New Roman"/>
          <w:color w:val="222222"/>
          <w:kern w:val="0"/>
          <w:sz w:val="21"/>
          <w:szCs w:val="21"/>
        </w:rPr>
      </w:pPr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 xml:space="preserve">8) To what extent is the European legislation on Equal Opportunity an effective means to tackle gender inequalities in the </w:t>
      </w:r>
      <w:proofErr w:type="spellStart"/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>labour</w:t>
      </w:r>
      <w:proofErr w:type="spellEnd"/>
      <w:r w:rsidRPr="00EA358C">
        <w:rPr>
          <w:rFonts w:ascii="Helvetica" w:hAnsi="Helvetica" w:cs="Times New Roman"/>
          <w:color w:val="222222"/>
          <w:kern w:val="0"/>
          <w:sz w:val="21"/>
          <w:szCs w:val="21"/>
        </w:rPr>
        <w:t xml:space="preserve"> market in Europe? Critically discuss drawing on examples and literature.</w:t>
      </w:r>
    </w:p>
    <w:p w14:paraId="132A4B81" w14:textId="77777777" w:rsidR="00A064C3" w:rsidRDefault="005F00AC"/>
    <w:p w14:paraId="589F40AB" w14:textId="77777777" w:rsidR="00EA358C" w:rsidRDefault="00EA358C"/>
    <w:p w14:paraId="7080D1C9" w14:textId="77777777" w:rsidR="00EA358C" w:rsidRDefault="00EA358C"/>
    <w:p w14:paraId="18FCFAEB" w14:textId="77777777" w:rsidR="00EA358C" w:rsidRDefault="00EA358C"/>
    <w:p w14:paraId="3C32B641" w14:textId="77777777" w:rsidR="00EA358C" w:rsidRPr="00D7721B" w:rsidRDefault="005F00AC" w:rsidP="00EA358C">
      <w:pPr>
        <w:rPr>
          <w:b/>
        </w:rPr>
      </w:pPr>
      <w:hyperlink r:id="rId5" w:anchor="128820_info_criteria_panel" w:history="1">
        <w:r w:rsidR="00EA358C" w:rsidRPr="00D7721B">
          <w:rPr>
            <w:b/>
          </w:rPr>
          <w:t> Assessment Criteria</w:t>
        </w:r>
      </w:hyperlink>
      <w:r w:rsidR="00D7721B">
        <w:rPr>
          <w:b/>
        </w:rPr>
        <w:t>:</w:t>
      </w:r>
    </w:p>
    <w:p w14:paraId="49C9A1E0" w14:textId="77777777" w:rsidR="00EA358C" w:rsidRDefault="00EA358C" w:rsidP="00EA358C">
      <w:pPr>
        <w:pStyle w:val="a4"/>
        <w:spacing w:before="0" w:beforeAutospacing="0" w:after="180" w:afterAutospacing="0" w:line="330" w:lineRule="atLeast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Our assessment criteria will focus on whether and how your essay answers the assignment question through:</w:t>
      </w:r>
    </w:p>
    <w:p w14:paraId="5753E1FF" w14:textId="77777777" w:rsidR="00EA358C" w:rsidRDefault="00EA358C" w:rsidP="00EA358C">
      <w:pPr>
        <w:pStyle w:val="a4"/>
        <w:spacing w:before="0" w:beforeAutospacing="0" w:after="180" w:afterAutospacing="0" w:line="330" w:lineRule="atLeast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- an effective introduction and a clear structure; </w:t>
      </w:r>
    </w:p>
    <w:p w14:paraId="4811CDDA" w14:textId="77777777" w:rsidR="00EA358C" w:rsidRDefault="00EA358C" w:rsidP="00EA358C">
      <w:pPr>
        <w:pStyle w:val="a4"/>
        <w:spacing w:before="0" w:beforeAutospacing="0" w:after="180" w:afterAutospacing="0" w:line="330" w:lineRule="atLeast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- a well-developed argument; </w:t>
      </w:r>
    </w:p>
    <w:p w14:paraId="6E12F258" w14:textId="77777777" w:rsidR="00EA358C" w:rsidRDefault="00EA358C" w:rsidP="00EA358C">
      <w:pPr>
        <w:pStyle w:val="a4"/>
        <w:spacing w:before="0" w:beforeAutospacing="0" w:after="180" w:afterAutospacing="0" w:line="330" w:lineRule="atLeast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- a precise illustration of relevant concepts;</w:t>
      </w:r>
    </w:p>
    <w:p w14:paraId="67E8051D" w14:textId="77777777" w:rsidR="00EA358C" w:rsidRDefault="00EA358C" w:rsidP="00EA358C">
      <w:pPr>
        <w:pStyle w:val="a4"/>
        <w:spacing w:before="0" w:beforeAutospacing="0" w:after="180" w:afterAutospacing="0" w:line="330" w:lineRule="atLeast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- a selective use of the material covered during the module;</w:t>
      </w:r>
    </w:p>
    <w:p w14:paraId="4B192025" w14:textId="77777777" w:rsidR="00EA358C" w:rsidRDefault="00EA358C" w:rsidP="00EA358C">
      <w:pPr>
        <w:pStyle w:val="a4"/>
        <w:spacing w:before="0" w:beforeAutospacing="0" w:after="180" w:afterAutospacing="0" w:line="330" w:lineRule="atLeast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- some capacity to identify further relevant sources (literature and examples);</w:t>
      </w:r>
    </w:p>
    <w:p w14:paraId="1DF319E3" w14:textId="77777777" w:rsidR="00EA358C" w:rsidRDefault="00EA358C" w:rsidP="00EA358C">
      <w:pPr>
        <w:pStyle w:val="a4"/>
        <w:spacing w:before="0" w:beforeAutospacing="0" w:after="180" w:afterAutospacing="0" w:line="330" w:lineRule="atLeast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- some engagement with the theories and evidence brought to the fore;</w:t>
      </w:r>
    </w:p>
    <w:p w14:paraId="1234E944" w14:textId="77777777" w:rsidR="00EA358C" w:rsidRDefault="00EA358C" w:rsidP="00EA358C">
      <w:pPr>
        <w:pStyle w:val="a4"/>
        <w:spacing w:before="0" w:beforeAutospacing="0" w:after="180" w:afterAutospacing="0" w:line="330" w:lineRule="atLeast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- a conclusion that briefly addresses the question directly and critically.</w:t>
      </w:r>
    </w:p>
    <w:p w14:paraId="340297EF" w14:textId="77777777" w:rsidR="00EA358C" w:rsidRDefault="00EA358C">
      <w:bookmarkStart w:id="0" w:name="_GoBack"/>
      <w:bookmarkEnd w:id="0"/>
    </w:p>
    <w:sectPr w:rsidR="00EA358C" w:rsidSect="003B2908">
      <w:pgSz w:w="11900" w:h="16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8C"/>
    <w:rsid w:val="003B2908"/>
    <w:rsid w:val="003B6DA9"/>
    <w:rsid w:val="005F00AC"/>
    <w:rsid w:val="00D7721B"/>
    <w:rsid w:val="00E41FFB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8F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A358C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A358C"/>
    <w:pPr>
      <w:widowControl/>
      <w:spacing w:before="100" w:beforeAutospacing="1" w:after="100" w:afterAutospacing="1"/>
      <w:jc w:val="left"/>
      <w:outlineLvl w:val="3"/>
    </w:pPr>
    <w:rPr>
      <w:rFonts w:ascii="Times New Roman" w:hAnsi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A358C"/>
    <w:rPr>
      <w:rFonts w:ascii="Times New Roman" w:hAnsi="Times New Roman" w:cs="Times New Roman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EA358C"/>
    <w:rPr>
      <w:rFonts w:ascii="Times New Roman" w:hAnsi="Times New Roman" w:cs="Times New Roman"/>
      <w:b/>
      <w:bCs/>
      <w:kern w:val="0"/>
    </w:rPr>
  </w:style>
  <w:style w:type="character" w:customStyle="1" w:styleId="pull-right">
    <w:name w:val="pull-right"/>
    <w:basedOn w:val="a0"/>
    <w:rsid w:val="00EA358C"/>
  </w:style>
  <w:style w:type="character" w:styleId="a3">
    <w:name w:val="Hyperlink"/>
    <w:basedOn w:val="a0"/>
    <w:uiPriority w:val="99"/>
    <w:semiHidden/>
    <w:unhideWhenUsed/>
    <w:rsid w:val="00EA35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58C"/>
  </w:style>
  <w:style w:type="paragraph" w:styleId="a4">
    <w:name w:val="Normal (Web)"/>
    <w:basedOn w:val="a"/>
    <w:uiPriority w:val="99"/>
    <w:semiHidden/>
    <w:unhideWhenUsed/>
    <w:rsid w:val="00EA358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5">
    <w:name w:val="Strong"/>
    <w:basedOn w:val="a0"/>
    <w:uiPriority w:val="22"/>
    <w:qFormat/>
    <w:rsid w:val="00EA3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6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803033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8" w:color="DDDDDD"/>
                    <w:right w:val="none" w:sz="0" w:space="11" w:color="DDDDDD"/>
                  </w:divBdr>
                </w:div>
                <w:div w:id="12689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8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3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6009">
                                                  <w:marLeft w:val="-195"/>
                                                  <w:marRight w:val="-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wbs.ac.uk/-/academic/176752/assessment/" TargetMode="External"/><Relationship Id="rId4" Type="http://schemas.openxmlformats.org/officeDocument/2006/relationships/hyperlink" Target="https://my.wbs.ac.uk/-/academic/176752/assessmen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Individual assignment</vt:lpstr>
    </vt:vector>
  </TitlesOfParts>
  <Company>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GAT0197</dc:creator>
  <cp:keywords/>
  <dc:description/>
  <cp:lastModifiedBy>User</cp:lastModifiedBy>
  <cp:revision>2</cp:revision>
  <dcterms:created xsi:type="dcterms:W3CDTF">2018-03-07T21:03:00Z</dcterms:created>
  <dcterms:modified xsi:type="dcterms:W3CDTF">2018-03-08T14:11:00Z</dcterms:modified>
</cp:coreProperties>
</file>